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56" w:rsidRPr="00FB5CFA" w:rsidRDefault="002B5056" w:rsidP="002B5056">
      <w:pPr>
        <w:tabs>
          <w:tab w:val="center" w:pos="4677"/>
          <w:tab w:val="right" w:pos="9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56" w:rsidRDefault="002B5056" w:rsidP="002B5056">
                            <w:pPr>
                              <w:spacing w:line="2220" w:lineRule="atLeas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D33B59" wp14:editId="5A98AEAE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056" w:rsidRDefault="002B5056" w:rsidP="002B50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1DUtH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2B5056" w:rsidRDefault="002B5056" w:rsidP="002B5056">
                      <w:pPr>
                        <w:spacing w:line="2220" w:lineRule="atLeas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D33B59" wp14:editId="5A98AEAE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056" w:rsidRDefault="002B5056" w:rsidP="002B5056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FB5CFA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2B5056" w:rsidRPr="008173CE" w:rsidRDefault="002B5056" w:rsidP="002B5056">
      <w:pPr>
        <w:kinsoku w:val="0"/>
        <w:overflowPunct w:val="0"/>
        <w:rPr>
          <w:sz w:val="18"/>
          <w:szCs w:val="18"/>
        </w:rPr>
      </w:pPr>
      <w:r w:rsidRPr="00FB5CF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</w:t>
      </w:r>
      <w:r w:rsidRPr="008173CE">
        <w:rPr>
          <w:sz w:val="18"/>
          <w:szCs w:val="18"/>
        </w:rPr>
        <w:t>АДРЕС: 143983,</w:t>
      </w:r>
      <w:r w:rsidRPr="008173CE">
        <w:rPr>
          <w:spacing w:val="-10"/>
          <w:sz w:val="18"/>
          <w:szCs w:val="18"/>
        </w:rPr>
        <w:t xml:space="preserve"> </w:t>
      </w:r>
      <w:r w:rsidRPr="008173CE">
        <w:rPr>
          <w:sz w:val="18"/>
          <w:szCs w:val="18"/>
        </w:rPr>
        <w:t>Московская</w:t>
      </w:r>
      <w:r w:rsidRPr="008173CE">
        <w:rPr>
          <w:spacing w:val="-9"/>
          <w:sz w:val="18"/>
          <w:szCs w:val="18"/>
        </w:rPr>
        <w:t xml:space="preserve"> </w:t>
      </w:r>
      <w:r w:rsidRPr="008173CE">
        <w:rPr>
          <w:sz w:val="18"/>
          <w:szCs w:val="18"/>
        </w:rPr>
        <w:t>область,</w:t>
      </w:r>
      <w:r w:rsidRPr="008173CE">
        <w:rPr>
          <w:spacing w:val="-9"/>
          <w:sz w:val="18"/>
          <w:szCs w:val="18"/>
        </w:rPr>
        <w:t xml:space="preserve"> </w:t>
      </w:r>
      <w:r w:rsidRPr="008173CE">
        <w:rPr>
          <w:sz w:val="18"/>
          <w:szCs w:val="18"/>
        </w:rPr>
        <w:t>г.</w:t>
      </w:r>
      <w:r w:rsidRPr="008173CE">
        <w:rPr>
          <w:spacing w:val="-9"/>
          <w:sz w:val="18"/>
          <w:szCs w:val="18"/>
        </w:rPr>
        <w:t xml:space="preserve"> </w:t>
      </w:r>
      <w:r w:rsidRPr="008173CE">
        <w:rPr>
          <w:sz w:val="18"/>
          <w:szCs w:val="18"/>
        </w:rPr>
        <w:t>Балашиха,</w:t>
      </w:r>
      <w:r w:rsidRPr="008173CE">
        <w:rPr>
          <w:spacing w:val="-10"/>
          <w:sz w:val="18"/>
          <w:szCs w:val="18"/>
        </w:rPr>
        <w:t xml:space="preserve"> микрорайон  Керамик,  </w:t>
      </w:r>
      <w:r w:rsidRPr="008173CE">
        <w:rPr>
          <w:sz w:val="18"/>
          <w:szCs w:val="18"/>
        </w:rPr>
        <w:t>ул.</w:t>
      </w:r>
      <w:r w:rsidRPr="008173CE">
        <w:rPr>
          <w:spacing w:val="-9"/>
          <w:sz w:val="18"/>
          <w:szCs w:val="18"/>
        </w:rPr>
        <w:t xml:space="preserve"> </w:t>
      </w:r>
      <w:r w:rsidRPr="008173CE">
        <w:rPr>
          <w:sz w:val="18"/>
          <w:szCs w:val="18"/>
        </w:rPr>
        <w:t>Керамическая 2А, офис 403.</w:t>
      </w:r>
    </w:p>
    <w:p w:rsidR="002B5056" w:rsidRPr="008173CE" w:rsidRDefault="002B5056" w:rsidP="002B5056">
      <w:pPr>
        <w:kinsoku w:val="0"/>
        <w:overflowPunct w:val="0"/>
        <w:rPr>
          <w:w w:val="99"/>
          <w:sz w:val="18"/>
          <w:szCs w:val="18"/>
        </w:rPr>
      </w:pPr>
      <w:r w:rsidRPr="008173CE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</w:t>
      </w:r>
      <w:r w:rsidRPr="008173CE">
        <w:rPr>
          <w:sz w:val="18"/>
          <w:szCs w:val="18"/>
        </w:rPr>
        <w:t xml:space="preserve">  ТЕЛЕФОН:</w:t>
      </w:r>
      <w:r w:rsidRPr="008173CE">
        <w:rPr>
          <w:spacing w:val="-8"/>
          <w:sz w:val="18"/>
          <w:szCs w:val="18"/>
        </w:rPr>
        <w:t xml:space="preserve"> </w:t>
      </w:r>
      <w:r w:rsidRPr="008173CE">
        <w:rPr>
          <w:sz w:val="18"/>
          <w:szCs w:val="18"/>
        </w:rPr>
        <w:t xml:space="preserve">8 (495) 544-85-03 ТЕЛ/ФАК: </w:t>
      </w:r>
      <w:r w:rsidRPr="008173CE">
        <w:rPr>
          <w:spacing w:val="-7"/>
          <w:sz w:val="18"/>
          <w:szCs w:val="18"/>
        </w:rPr>
        <w:t xml:space="preserve">8 (495) 664-29-78  </w:t>
      </w:r>
      <w:r w:rsidRPr="008173CE">
        <w:rPr>
          <w:sz w:val="18"/>
          <w:szCs w:val="18"/>
        </w:rPr>
        <w:t>МОБ: 8 (925) 544-85-03</w:t>
      </w:r>
    </w:p>
    <w:p w:rsidR="002B5056" w:rsidRPr="002B5056" w:rsidRDefault="002B5056" w:rsidP="002B5056">
      <w:pPr>
        <w:kinsoku w:val="0"/>
        <w:overflowPunct w:val="0"/>
        <w:rPr>
          <w:color w:val="0000FF"/>
          <w:sz w:val="18"/>
          <w:szCs w:val="18"/>
          <w:u w:val="single"/>
        </w:rPr>
      </w:pPr>
      <w:r w:rsidRPr="008173CE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</w:t>
      </w:r>
      <w:r w:rsidRPr="008173CE">
        <w:rPr>
          <w:sz w:val="18"/>
          <w:szCs w:val="18"/>
        </w:rPr>
        <w:t xml:space="preserve">    </w:t>
      </w:r>
      <w:r w:rsidRPr="008173CE">
        <w:rPr>
          <w:sz w:val="18"/>
          <w:szCs w:val="18"/>
          <w:lang w:val="en-US"/>
        </w:rPr>
        <w:t>E</w:t>
      </w:r>
      <w:r w:rsidRPr="002B5056">
        <w:rPr>
          <w:sz w:val="18"/>
          <w:szCs w:val="18"/>
        </w:rPr>
        <w:t>-</w:t>
      </w:r>
      <w:r w:rsidRPr="008173CE">
        <w:rPr>
          <w:sz w:val="18"/>
          <w:szCs w:val="18"/>
          <w:lang w:val="en-US"/>
        </w:rPr>
        <w:t>MAIL</w:t>
      </w:r>
      <w:r w:rsidRPr="002B5056">
        <w:rPr>
          <w:sz w:val="18"/>
          <w:szCs w:val="18"/>
        </w:rPr>
        <w:t>:</w:t>
      </w:r>
      <w:r w:rsidRPr="002B5056">
        <w:rPr>
          <w:spacing w:val="-13"/>
          <w:sz w:val="18"/>
          <w:szCs w:val="18"/>
        </w:rPr>
        <w:t xml:space="preserve"> </w:t>
      </w:r>
      <w:hyperlink r:id="rId6" w:history="1">
        <w:r w:rsidRPr="008173CE">
          <w:rPr>
            <w:color w:val="0000FF"/>
            <w:spacing w:val="-13"/>
            <w:sz w:val="18"/>
            <w:szCs w:val="18"/>
            <w:u w:val="single"/>
            <w:lang w:val="en-US"/>
          </w:rPr>
          <w:t>rosrez</w:t>
        </w:r>
        <w:r w:rsidRPr="002B5056">
          <w:rPr>
            <w:color w:val="0000FF"/>
            <w:spacing w:val="-13"/>
            <w:sz w:val="18"/>
            <w:szCs w:val="18"/>
            <w:u w:val="single"/>
          </w:rPr>
          <w:t>@</w:t>
        </w:r>
        <w:r w:rsidRPr="008173CE">
          <w:rPr>
            <w:color w:val="0000FF"/>
            <w:spacing w:val="-13"/>
            <w:sz w:val="18"/>
            <w:szCs w:val="18"/>
            <w:u w:val="single"/>
            <w:lang w:val="en-US"/>
          </w:rPr>
          <w:t>mail</w:t>
        </w:r>
        <w:r w:rsidRPr="002B5056">
          <w:rPr>
            <w:color w:val="0000FF"/>
            <w:spacing w:val="-13"/>
            <w:sz w:val="18"/>
            <w:szCs w:val="18"/>
            <w:u w:val="single"/>
          </w:rPr>
          <w:t>.</w:t>
        </w:r>
        <w:r w:rsidRPr="008173CE">
          <w:rPr>
            <w:color w:val="0000FF"/>
            <w:spacing w:val="-13"/>
            <w:sz w:val="18"/>
            <w:szCs w:val="18"/>
            <w:u w:val="single"/>
            <w:lang w:val="en-US"/>
          </w:rPr>
          <w:t>ru</w:t>
        </w:r>
      </w:hyperlink>
      <w:r w:rsidRPr="002B5056">
        <w:rPr>
          <w:color w:val="0000FF"/>
          <w:spacing w:val="-13"/>
          <w:sz w:val="18"/>
          <w:szCs w:val="18"/>
        </w:rPr>
        <w:t xml:space="preserve">   </w:t>
      </w:r>
      <w:r w:rsidRPr="008173CE">
        <w:rPr>
          <w:color w:val="000000"/>
          <w:sz w:val="18"/>
          <w:szCs w:val="18"/>
          <w:lang w:val="en-US"/>
        </w:rPr>
        <w:t>HTTP</w:t>
      </w:r>
      <w:r w:rsidRPr="002B5056">
        <w:rPr>
          <w:color w:val="000000"/>
          <w:sz w:val="18"/>
          <w:szCs w:val="18"/>
        </w:rPr>
        <w:t>:</w:t>
      </w:r>
      <w:r w:rsidRPr="002B5056">
        <w:rPr>
          <w:color w:val="000000"/>
          <w:spacing w:val="-13"/>
          <w:sz w:val="18"/>
          <w:szCs w:val="18"/>
        </w:rPr>
        <w:t xml:space="preserve"> </w:t>
      </w:r>
      <w:hyperlink r:id="rId7" w:history="1">
        <w:r w:rsidRPr="008173CE">
          <w:rPr>
            <w:color w:val="0000FF"/>
            <w:sz w:val="18"/>
            <w:szCs w:val="18"/>
            <w:u w:val="single"/>
            <w:lang w:val="en-US"/>
          </w:rPr>
          <w:t>www</w:t>
        </w:r>
        <w:r w:rsidRPr="002B5056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8173CE">
          <w:rPr>
            <w:color w:val="0000FF"/>
            <w:sz w:val="18"/>
            <w:szCs w:val="18"/>
            <w:u w:val="single"/>
            <w:lang w:val="en-US"/>
          </w:rPr>
          <w:t>rosrez</w:t>
        </w:r>
        <w:proofErr w:type="spellEnd"/>
        <w:r w:rsidRPr="002B5056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8173CE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4B67AD" w:rsidRDefault="004B67AD"/>
    <w:p w:rsidR="002B5056" w:rsidRDefault="002B5056"/>
    <w:p w:rsidR="002B5056" w:rsidRDefault="002B5056"/>
    <w:p w:rsidR="002B5056" w:rsidRPr="002B5056" w:rsidRDefault="002B5056" w:rsidP="002B5056">
      <w:pPr>
        <w:widowControl/>
        <w:shd w:val="clear" w:color="auto" w:fill="FFFFFF"/>
        <w:jc w:val="right"/>
        <w:rPr>
          <w:b/>
          <w:color w:val="000000"/>
        </w:rPr>
      </w:pPr>
      <w:r w:rsidRPr="002B5056">
        <w:rPr>
          <w:b/>
          <w:color w:val="000000"/>
        </w:rPr>
        <w:t xml:space="preserve">ГОСТ </w:t>
      </w:r>
      <w:proofErr w:type="gramStart"/>
      <w:r w:rsidRPr="002B5056">
        <w:rPr>
          <w:b/>
          <w:color w:val="000000"/>
        </w:rPr>
        <w:t>Р</w:t>
      </w:r>
      <w:proofErr w:type="gramEnd"/>
      <w:r w:rsidRPr="002B5056">
        <w:rPr>
          <w:b/>
          <w:color w:val="000000"/>
        </w:rPr>
        <w:t xml:space="preserve"> 51984-2002</w:t>
      </w:r>
    </w:p>
    <w:p w:rsidR="002B5056" w:rsidRPr="002B5056" w:rsidRDefault="002B5056" w:rsidP="002B5056">
      <w:pPr>
        <w:widowControl/>
        <w:pBdr>
          <w:bottom w:val="single" w:sz="4" w:space="1" w:color="auto"/>
        </w:pBdr>
        <w:shd w:val="clear" w:color="auto" w:fill="FFFFFF"/>
        <w:jc w:val="right"/>
        <w:rPr>
          <w:b/>
          <w:color w:val="000000"/>
          <w:spacing w:val="20"/>
        </w:rPr>
      </w:pPr>
      <w:r w:rsidRPr="002B5056">
        <w:rPr>
          <w:b/>
          <w:color w:val="000000"/>
          <w:spacing w:val="20"/>
        </w:rPr>
        <w:t>ГОСУДАРСТВЕННЫЙ СТАНДАРТ РОССИЙСКОЙ ФЕДЕРАЦИИ</w:t>
      </w:r>
    </w:p>
    <w:p w:rsidR="002B5056" w:rsidRPr="002B5056" w:rsidRDefault="002B5056" w:rsidP="002B5056">
      <w:pPr>
        <w:widowControl/>
        <w:shd w:val="clear" w:color="auto" w:fill="FFFFFF"/>
        <w:jc w:val="right"/>
        <w:rPr>
          <w:b/>
          <w:color w:val="000000"/>
        </w:rPr>
      </w:pPr>
      <w:r w:rsidRPr="002B5056">
        <w:rPr>
          <w:b/>
          <w:color w:val="000000"/>
        </w:rPr>
        <w:t xml:space="preserve">ГОСТ </w:t>
      </w:r>
      <w:proofErr w:type="gramStart"/>
      <w:r w:rsidRPr="002B5056">
        <w:rPr>
          <w:b/>
          <w:color w:val="000000"/>
        </w:rPr>
        <w:t>Р</w:t>
      </w:r>
      <w:proofErr w:type="gramEnd"/>
      <w:r w:rsidRPr="002B5056">
        <w:rPr>
          <w:b/>
          <w:color w:val="000000"/>
        </w:rPr>
        <w:t xml:space="preserve"> 51984-2002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right"/>
        <w:rPr>
          <w:b/>
          <w:color w:val="000000"/>
        </w:rPr>
      </w:pPr>
      <w:r w:rsidRPr="002B5056">
        <w:rPr>
          <w:b/>
          <w:color w:val="000000"/>
        </w:rPr>
        <w:t>КОНВЕЙЕРЫ ШАХТНЫЕ ЛЕНТОЧНЫЕ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right"/>
        <w:rPr>
          <w:b/>
          <w:color w:val="000000"/>
        </w:rPr>
      </w:pPr>
      <w:r w:rsidRPr="002B5056">
        <w:rPr>
          <w:b/>
          <w:color w:val="000000"/>
        </w:rPr>
        <w:t>Общие технические условия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right"/>
        <w:rPr>
          <w:b/>
          <w:color w:val="000000"/>
        </w:rPr>
      </w:pPr>
    </w:p>
    <w:p w:rsidR="002B5056" w:rsidRPr="002B5056" w:rsidRDefault="002B5056" w:rsidP="002B5056">
      <w:pPr>
        <w:widowControl/>
        <w:autoSpaceDE/>
        <w:autoSpaceDN/>
        <w:adjustRightInd/>
        <w:jc w:val="right"/>
        <w:rPr>
          <w:b/>
          <w:color w:val="000000"/>
        </w:rPr>
      </w:pPr>
      <w:bookmarkStart w:id="2" w:name="_GoBack"/>
      <w:bookmarkEnd w:id="2"/>
      <w:r w:rsidRPr="002B5056">
        <w:rPr>
          <w:b/>
          <w:color w:val="000000"/>
        </w:rPr>
        <w:t>ГОССТАНДАРТ РОССИИ</w:t>
      </w:r>
    </w:p>
    <w:p w:rsidR="002B5056" w:rsidRPr="002B5056" w:rsidRDefault="002B5056" w:rsidP="002B5056">
      <w:pPr>
        <w:widowControl/>
        <w:autoSpaceDE/>
        <w:autoSpaceDN/>
        <w:adjustRightInd/>
        <w:jc w:val="right"/>
        <w:rPr>
          <w:b/>
          <w:color w:val="000000"/>
        </w:rPr>
      </w:pPr>
      <w:r w:rsidRPr="002B5056">
        <w:rPr>
          <w:b/>
          <w:color w:val="000000"/>
        </w:rPr>
        <w:t>Москва</w:t>
      </w:r>
    </w:p>
    <w:p w:rsidR="002B5056" w:rsidRPr="002B5056" w:rsidRDefault="002B5056" w:rsidP="002B5056">
      <w:pPr>
        <w:widowControl/>
        <w:autoSpaceDE/>
        <w:autoSpaceDN/>
        <w:adjustRightInd/>
        <w:rPr>
          <w:b/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color w:val="000000"/>
        </w:rPr>
      </w:pPr>
      <w:r w:rsidRPr="002B5056">
        <w:rPr>
          <w:b/>
          <w:color w:val="000000"/>
        </w:rPr>
        <w:t>Предисловие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  <w:r w:rsidRPr="002B5056">
        <w:rPr>
          <w:b/>
          <w:bCs/>
          <w:color w:val="000000"/>
        </w:rPr>
        <w:t xml:space="preserve">1 </w:t>
      </w:r>
      <w:proofErr w:type="gramStart"/>
      <w:r w:rsidRPr="002B5056">
        <w:rPr>
          <w:b/>
          <w:bCs/>
          <w:color w:val="000000"/>
        </w:rPr>
        <w:t>РАЗРАБОТАН</w:t>
      </w:r>
      <w:proofErr w:type="gramEnd"/>
      <w:r w:rsidRPr="002B5056">
        <w:rPr>
          <w:b/>
          <w:bCs/>
          <w:color w:val="000000"/>
        </w:rPr>
        <w:t xml:space="preserve"> ФГУП ННЦ ГП - ИГД им. А.А. </w:t>
      </w:r>
      <w:proofErr w:type="spellStart"/>
      <w:r w:rsidRPr="002B5056">
        <w:rPr>
          <w:b/>
          <w:bCs/>
          <w:color w:val="000000"/>
        </w:rPr>
        <w:t>Скочинского</w:t>
      </w:r>
      <w:proofErr w:type="spellEnd"/>
      <w:r w:rsidRPr="002B5056">
        <w:rPr>
          <w:b/>
          <w:bCs/>
          <w:color w:val="000000"/>
        </w:rPr>
        <w:t xml:space="preserve"> и ООО «НПК ТРАНСБЕЛТ»</w:t>
      </w:r>
    </w:p>
    <w:p w:rsidR="002B5056" w:rsidRPr="002B5056" w:rsidRDefault="002B5056" w:rsidP="002B5056">
      <w:pPr>
        <w:widowControl/>
        <w:shd w:val="clear" w:color="auto" w:fill="FFFFFF"/>
        <w:rPr>
          <w:b/>
          <w:bCs/>
          <w:color w:val="000000"/>
        </w:rPr>
      </w:pPr>
      <w:proofErr w:type="gramStart"/>
      <w:r w:rsidRPr="002B5056">
        <w:rPr>
          <w:b/>
          <w:bCs/>
          <w:color w:val="000000"/>
        </w:rPr>
        <w:t>ВНЕСЕН</w:t>
      </w:r>
      <w:proofErr w:type="gramEnd"/>
      <w:r w:rsidRPr="002B5056">
        <w:rPr>
          <w:b/>
          <w:bCs/>
          <w:color w:val="000000"/>
        </w:rPr>
        <w:t xml:space="preserve"> Управлением научно-технического прогресса Министерства энергетики Российской Федерации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  <w:r w:rsidRPr="002B5056">
        <w:rPr>
          <w:b/>
          <w:bCs/>
          <w:color w:val="000000"/>
        </w:rPr>
        <w:t xml:space="preserve">2 УТВЕРЖДЕН И ВВЕДЕН В ДЕЙСТВИЕ Постановлением Госстандарта России от 15 декабря </w:t>
      </w:r>
      <w:smartTag w:uri="urn:schemas-microsoft-com:office:smarttags" w:element="metricconverter">
        <w:smartTagPr>
          <w:attr w:name="ProductID" w:val="2002 г"/>
        </w:smartTagPr>
        <w:r w:rsidRPr="002B5056">
          <w:rPr>
            <w:b/>
            <w:bCs/>
            <w:color w:val="000000"/>
          </w:rPr>
          <w:t>2002 г</w:t>
        </w:r>
      </w:smartTag>
      <w:r w:rsidRPr="002B5056">
        <w:rPr>
          <w:b/>
          <w:bCs/>
          <w:color w:val="000000"/>
        </w:rPr>
        <w:t>. № 476-ст</w:t>
      </w:r>
    </w:p>
    <w:p w:rsidR="002B5056" w:rsidRPr="002B5056" w:rsidRDefault="002B5056" w:rsidP="002B5056">
      <w:pPr>
        <w:widowControl/>
        <w:autoSpaceDE/>
        <w:autoSpaceDN/>
        <w:adjustRightInd/>
        <w:rPr>
          <w:b/>
          <w:bCs/>
          <w:color w:val="000000"/>
        </w:rPr>
      </w:pPr>
      <w:r w:rsidRPr="002B5056">
        <w:rPr>
          <w:b/>
          <w:bCs/>
          <w:color w:val="000000"/>
        </w:rPr>
        <w:t>3 ВВЕДЕН ВПЕРВЫЕ</w:t>
      </w:r>
    </w:p>
    <w:p w:rsidR="002B5056" w:rsidRPr="002B5056" w:rsidRDefault="002B5056" w:rsidP="002B5056">
      <w:pPr>
        <w:widowControl/>
        <w:autoSpaceDE/>
        <w:autoSpaceDN/>
        <w:adjustRightInd/>
        <w:rPr>
          <w:color w:val="000000"/>
        </w:rPr>
      </w:pPr>
    </w:p>
    <w:p w:rsidR="002B5056" w:rsidRPr="002B5056" w:rsidRDefault="002B5056" w:rsidP="002B5056">
      <w:pPr>
        <w:widowControl/>
        <w:pBdr>
          <w:bottom w:val="single" w:sz="4" w:space="1" w:color="auto"/>
        </w:pBdr>
        <w:shd w:val="clear" w:color="auto" w:fill="FFFFFF"/>
        <w:autoSpaceDE/>
        <w:autoSpaceDN/>
        <w:rPr>
          <w:b/>
          <w:color w:val="000000"/>
          <w:spacing w:val="20"/>
        </w:rPr>
      </w:pPr>
      <w:r w:rsidRPr="002B5056">
        <w:rPr>
          <w:b/>
          <w:color w:val="000000"/>
          <w:spacing w:val="20"/>
        </w:rPr>
        <w:t>ГОСУДАРСТВЕННЫЙ СТАНДАРТ РОССИЙСКОЙ ФЕДЕРАЦИИ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color w:val="000000"/>
        </w:rPr>
      </w:pPr>
      <w:r w:rsidRPr="002B5056">
        <w:rPr>
          <w:b/>
          <w:color w:val="000000"/>
        </w:rPr>
        <w:t>КОНВЕЙЕРЫ ШАХТНЫЕ ЛЕНТОЧНЫЕ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color w:val="000000"/>
        </w:rPr>
      </w:pPr>
      <w:r w:rsidRPr="002B5056">
        <w:rPr>
          <w:b/>
          <w:color w:val="000000"/>
        </w:rPr>
        <w:t>Общие технические условия</w:t>
      </w:r>
    </w:p>
    <w:p w:rsidR="002B5056" w:rsidRPr="002B5056" w:rsidRDefault="002B5056" w:rsidP="002B5056">
      <w:pPr>
        <w:widowControl/>
        <w:pBdr>
          <w:bottom w:val="single" w:sz="4" w:space="1" w:color="auto"/>
        </w:pBdr>
        <w:shd w:val="clear" w:color="auto" w:fill="FFFFFF"/>
        <w:autoSpaceDE/>
        <w:autoSpaceDN/>
        <w:rPr>
          <w:b/>
          <w:color w:val="000000"/>
          <w:lang w:val="en-US"/>
        </w:rPr>
      </w:pPr>
      <w:r w:rsidRPr="002B5056">
        <w:rPr>
          <w:bCs/>
          <w:color w:val="000000"/>
          <w:lang w:val="en-US"/>
        </w:rPr>
        <w:t>Mine belt conveyers. General specifications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color w:val="000000"/>
          <w:lang w:val="en-US"/>
        </w:rPr>
      </w:pPr>
      <w:r w:rsidRPr="002B5056">
        <w:rPr>
          <w:b/>
          <w:color w:val="000000"/>
        </w:rPr>
        <w:t>Дата</w:t>
      </w:r>
      <w:r w:rsidRPr="002B5056">
        <w:rPr>
          <w:b/>
          <w:color w:val="000000"/>
          <w:lang w:val="en-US"/>
        </w:rPr>
        <w:t xml:space="preserve"> </w:t>
      </w:r>
      <w:r w:rsidRPr="002B5056">
        <w:rPr>
          <w:b/>
          <w:color w:val="000000"/>
        </w:rPr>
        <w:t>введения</w:t>
      </w:r>
      <w:r w:rsidRPr="002B5056">
        <w:rPr>
          <w:b/>
          <w:color w:val="000000"/>
          <w:lang w:val="en-US"/>
        </w:rPr>
        <w:t xml:space="preserve"> 2003-07-01</w:t>
      </w:r>
    </w:p>
    <w:p w:rsidR="002B5056" w:rsidRPr="002B5056" w:rsidRDefault="002B5056" w:rsidP="002B5056">
      <w:pPr>
        <w:keepNext/>
        <w:widowControl/>
        <w:autoSpaceDE/>
        <w:autoSpaceDN/>
        <w:adjustRightInd/>
        <w:rPr>
          <w:b/>
          <w:bCs/>
          <w:color w:val="000000"/>
        </w:rPr>
      </w:pPr>
    </w:p>
    <w:p w:rsidR="002B5056" w:rsidRPr="002B5056" w:rsidRDefault="002B5056" w:rsidP="002B5056">
      <w:pPr>
        <w:keepNext/>
        <w:widowControl/>
        <w:autoSpaceDE/>
        <w:autoSpaceDN/>
        <w:adjustRightInd/>
        <w:rPr>
          <w:b/>
          <w:bCs/>
          <w:color w:val="000000"/>
        </w:rPr>
      </w:pPr>
      <w:r w:rsidRPr="002B5056">
        <w:rPr>
          <w:b/>
          <w:bCs/>
          <w:color w:val="000000"/>
        </w:rPr>
        <w:t>1 Область применения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 xml:space="preserve">Настоящий стандарт распространяется на шахтные ленточные конвейеры, предназначенные для транспортирования горной массы и перевозки людей по горным выработкам с углами наклона </w:t>
      </w:r>
      <w:proofErr w:type="gramStart"/>
      <w:r w:rsidRPr="002B5056">
        <w:rPr>
          <w:color w:val="000000"/>
        </w:rPr>
        <w:t>от</w:t>
      </w:r>
      <w:proofErr w:type="gramEnd"/>
      <w:r w:rsidRPr="002B5056">
        <w:rPr>
          <w:color w:val="000000"/>
        </w:rPr>
        <w:t xml:space="preserve"> минус 25° до плюс 25° в следующих условиях: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>шахты (рудники) всех категорий, включая опасные по газу или пыли;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>атмосфера типа 1 по ГОСТ 15150 при запыленности воздуха не более 200 мг/м</w:t>
      </w:r>
      <w:r w:rsidRPr="002B5056">
        <w:rPr>
          <w:color w:val="000000"/>
          <w:vertAlign w:val="superscript"/>
        </w:rPr>
        <w:t>3</w:t>
      </w:r>
      <w:r w:rsidRPr="002B5056">
        <w:rPr>
          <w:color w:val="000000"/>
        </w:rPr>
        <w:t>;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>относительная влажность при температуре 25</w:t>
      </w:r>
      <w:proofErr w:type="gramStart"/>
      <w:r w:rsidRPr="002B5056">
        <w:rPr>
          <w:color w:val="000000"/>
        </w:rPr>
        <w:t xml:space="preserve"> °С</w:t>
      </w:r>
      <w:proofErr w:type="gramEnd"/>
      <w:r w:rsidRPr="002B5056">
        <w:rPr>
          <w:color w:val="000000"/>
        </w:rPr>
        <w:t xml:space="preserve"> не более 98 %;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 xml:space="preserve">высота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2B5056">
          <w:rPr>
            <w:color w:val="000000"/>
          </w:rPr>
          <w:t>1000 м</w:t>
        </w:r>
      </w:smartTag>
      <w:r w:rsidRPr="002B5056">
        <w:rPr>
          <w:color w:val="000000"/>
        </w:rPr>
        <w:t>;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proofErr w:type="gramStart"/>
      <w:r w:rsidRPr="002B5056">
        <w:rPr>
          <w:color w:val="000000"/>
        </w:rPr>
        <w:t>колебания напряжения питающей сети от минус 15 % до плюс 10 % номинального значения.</w:t>
      </w:r>
      <w:proofErr w:type="gramEnd"/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>Климатическое исполнение</w:t>
      </w:r>
      <w:proofErr w:type="gramStart"/>
      <w:r w:rsidRPr="002B5056">
        <w:rPr>
          <w:color w:val="000000"/>
        </w:rPr>
        <w:t xml:space="preserve"> У</w:t>
      </w:r>
      <w:proofErr w:type="gramEnd"/>
      <w:r w:rsidRPr="002B5056">
        <w:rPr>
          <w:color w:val="000000"/>
        </w:rPr>
        <w:t xml:space="preserve"> для категорий размещения 4 и 5 по </w:t>
      </w:r>
      <w:hyperlink r:id="rId8" w:tooltip="ГОСТ 15150" w:history="1">
        <w:r w:rsidRPr="002B5056">
          <w:rPr>
            <w:color w:val="000000"/>
          </w:rPr>
          <w:t>ГОСТ 15150</w:t>
        </w:r>
      </w:hyperlink>
      <w:r w:rsidRPr="002B5056">
        <w:rPr>
          <w:color w:val="000000"/>
        </w:rPr>
        <w:t>; категория размещения 4 для электрооборудования приводов в общепромышленном исполнении.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 xml:space="preserve">Требования, указанные в </w:t>
      </w:r>
      <w:hyperlink r:id="rId9" w:anchor="t1#t1" w:tooltip="таблица 1" w:history="1">
        <w:r w:rsidRPr="002B5056">
          <w:rPr>
            <w:color w:val="000000"/>
          </w:rPr>
          <w:t>таблицах 1</w:t>
        </w:r>
      </w:hyperlink>
      <w:r w:rsidRPr="002B5056">
        <w:rPr>
          <w:color w:val="000000"/>
        </w:rPr>
        <w:t xml:space="preserve">, 3, пунктах </w:t>
      </w:r>
      <w:hyperlink r:id="rId10" w:anchor="p524#p524" w:tooltip="п. 5.2.4" w:history="1">
        <w:r w:rsidRPr="002B5056">
          <w:rPr>
            <w:color w:val="000000"/>
          </w:rPr>
          <w:t>5.2.4</w:t>
        </w:r>
      </w:hyperlink>
      <w:r w:rsidRPr="002B5056">
        <w:rPr>
          <w:color w:val="000000"/>
        </w:rPr>
        <w:t xml:space="preserve">, </w:t>
      </w:r>
      <w:hyperlink r:id="rId11" w:anchor="p529#p529" w:tooltip="п. 5.2.9" w:history="1">
        <w:r w:rsidRPr="002B5056">
          <w:rPr>
            <w:color w:val="000000"/>
          </w:rPr>
          <w:t>5.2.9</w:t>
        </w:r>
      </w:hyperlink>
      <w:r w:rsidRPr="002B5056">
        <w:rPr>
          <w:color w:val="000000"/>
        </w:rPr>
        <w:t xml:space="preserve">, </w:t>
      </w:r>
      <w:hyperlink r:id="rId12" w:anchor="p5210#p5210" w:tooltip="п. 5.2.10" w:history="1">
        <w:r w:rsidRPr="002B5056">
          <w:rPr>
            <w:color w:val="000000"/>
          </w:rPr>
          <w:t>5.2.10</w:t>
        </w:r>
      </w:hyperlink>
      <w:r w:rsidRPr="002B5056">
        <w:rPr>
          <w:color w:val="000000"/>
        </w:rPr>
        <w:t xml:space="preserve">, </w:t>
      </w:r>
      <w:hyperlink r:id="rId13" w:anchor="p57#p57" w:tooltip="п. 5.7" w:history="1">
        <w:r w:rsidRPr="002B5056">
          <w:rPr>
            <w:color w:val="000000"/>
          </w:rPr>
          <w:t>5.7</w:t>
        </w:r>
      </w:hyperlink>
      <w:r w:rsidRPr="002B5056">
        <w:rPr>
          <w:color w:val="000000"/>
        </w:rPr>
        <w:t xml:space="preserve">, </w:t>
      </w:r>
      <w:hyperlink r:id="rId14" w:anchor="_6_Требования_безопасности#_6_Требования_безопасности" w:tooltip="раздел 6" w:history="1">
        <w:r w:rsidRPr="002B5056">
          <w:rPr>
            <w:color w:val="000000"/>
          </w:rPr>
          <w:t>разделе 6</w:t>
        </w:r>
      </w:hyperlink>
      <w:r w:rsidRPr="002B5056">
        <w:rPr>
          <w:color w:val="000000"/>
        </w:rPr>
        <w:t xml:space="preserve"> являются обязательными, остальные - рекомендуемыми.</w:t>
      </w:r>
    </w:p>
    <w:p w:rsidR="002B5056" w:rsidRPr="002B5056" w:rsidRDefault="002B5056" w:rsidP="002B5056">
      <w:pPr>
        <w:keepNext/>
        <w:widowControl/>
        <w:autoSpaceDE/>
        <w:autoSpaceDN/>
        <w:adjustRightInd/>
        <w:rPr>
          <w:b/>
          <w:bCs/>
          <w:color w:val="000000"/>
        </w:rPr>
      </w:pPr>
    </w:p>
    <w:p w:rsidR="002B5056" w:rsidRPr="002B5056" w:rsidRDefault="002B5056" w:rsidP="002B5056">
      <w:pPr>
        <w:keepNext/>
        <w:widowControl/>
        <w:autoSpaceDE/>
        <w:autoSpaceDN/>
        <w:adjustRightInd/>
        <w:rPr>
          <w:b/>
          <w:bCs/>
          <w:color w:val="000000"/>
        </w:rPr>
      </w:pPr>
      <w:r w:rsidRPr="002B5056">
        <w:rPr>
          <w:b/>
          <w:bCs/>
          <w:color w:val="000000"/>
        </w:rPr>
        <w:t>2 Нормативные ссылки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>В настоящем стандарте использованы ссылки на следующие стандарты: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>ГОСТ 2.601-95 Единая система конструкторской документации. Эксплуатационные документы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bCs/>
          <w:color w:val="000000"/>
        </w:rPr>
        <w:t xml:space="preserve">3.16 </w:t>
      </w:r>
      <w:r w:rsidRPr="002B5056">
        <w:rPr>
          <w:b/>
          <w:color w:val="000000"/>
        </w:rPr>
        <w:t>скорость ленты:</w:t>
      </w:r>
      <w:r w:rsidRPr="002B5056">
        <w:rPr>
          <w:bCs/>
          <w:color w:val="000000"/>
        </w:rPr>
        <w:t xml:space="preserve"> </w:t>
      </w:r>
      <w:r w:rsidRPr="002B5056">
        <w:rPr>
          <w:color w:val="000000"/>
        </w:rPr>
        <w:t xml:space="preserve">Скорость перемещения ленты по ГОСТ </w:t>
      </w:r>
      <w:proofErr w:type="gramStart"/>
      <w:r w:rsidRPr="002B5056">
        <w:rPr>
          <w:color w:val="000000"/>
        </w:rPr>
        <w:t>Р</w:t>
      </w:r>
      <w:proofErr w:type="gramEnd"/>
      <w:r w:rsidRPr="002B5056">
        <w:rPr>
          <w:color w:val="000000"/>
        </w:rPr>
        <w:t xml:space="preserve"> 51042.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>В настоящем стандарте применяют следующие обозначения: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i/>
          <w:color w:val="000000"/>
          <w:lang w:val="en-US"/>
        </w:rPr>
        <w:t>L</w:t>
      </w:r>
      <w:r w:rsidRPr="002B5056">
        <w:rPr>
          <w:iCs/>
          <w:color w:val="000000"/>
        </w:rPr>
        <w:t xml:space="preserve"> - </w:t>
      </w:r>
      <w:proofErr w:type="gramStart"/>
      <w:r w:rsidRPr="002B5056">
        <w:rPr>
          <w:color w:val="000000"/>
        </w:rPr>
        <w:t>длина</w:t>
      </w:r>
      <w:proofErr w:type="gramEnd"/>
      <w:r w:rsidRPr="002B5056">
        <w:rPr>
          <w:color w:val="000000"/>
        </w:rPr>
        <w:t xml:space="preserve"> обечайки ролика, мм;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i/>
          <w:color w:val="000000"/>
          <w:lang w:val="en-US"/>
        </w:rPr>
        <w:t>d</w:t>
      </w:r>
      <w:r w:rsidRPr="002B5056">
        <w:rPr>
          <w:i/>
          <w:color w:val="000000"/>
        </w:rPr>
        <w:t xml:space="preserve"> </w:t>
      </w:r>
      <w:r w:rsidRPr="002B5056">
        <w:rPr>
          <w:iCs/>
          <w:color w:val="000000"/>
        </w:rPr>
        <w:t xml:space="preserve">- </w:t>
      </w:r>
      <w:proofErr w:type="gramStart"/>
      <w:r w:rsidRPr="002B5056">
        <w:rPr>
          <w:color w:val="000000"/>
        </w:rPr>
        <w:t>диаметр</w:t>
      </w:r>
      <w:proofErr w:type="gramEnd"/>
      <w:r w:rsidRPr="002B5056">
        <w:rPr>
          <w:color w:val="000000"/>
        </w:rPr>
        <w:t xml:space="preserve"> обечайки ролика, мм;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i/>
          <w:color w:val="000000"/>
        </w:rPr>
        <w:lastRenderedPageBreak/>
        <w:t>а</w:t>
      </w:r>
      <w:r w:rsidRPr="002B5056">
        <w:rPr>
          <w:iCs/>
          <w:color w:val="000000"/>
        </w:rPr>
        <w:t xml:space="preserve"> - </w:t>
      </w:r>
      <w:r w:rsidRPr="002B5056">
        <w:rPr>
          <w:color w:val="000000"/>
        </w:rPr>
        <w:t xml:space="preserve">зазор между нижней кромкой обечайки ролика и верхней плоскостью кронштейна ролика опоры, </w:t>
      </w:r>
      <w:proofErr w:type="gramStart"/>
      <w:r w:rsidRPr="002B5056">
        <w:rPr>
          <w:color w:val="000000"/>
        </w:rPr>
        <w:t>мм</w:t>
      </w:r>
      <w:proofErr w:type="gramEnd"/>
      <w:r w:rsidRPr="002B5056">
        <w:rPr>
          <w:color w:val="000000"/>
        </w:rPr>
        <w:t>;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i/>
          <w:color w:val="000000"/>
        </w:rPr>
        <w:t>е</w:t>
      </w:r>
      <w:r w:rsidRPr="002B5056">
        <w:rPr>
          <w:iCs/>
          <w:color w:val="000000"/>
        </w:rPr>
        <w:t xml:space="preserve"> - </w:t>
      </w:r>
      <w:r w:rsidRPr="002B5056">
        <w:rPr>
          <w:color w:val="000000"/>
        </w:rPr>
        <w:t xml:space="preserve">расстояние между внешними поверхностями стоек, расположенных друг против друга, ширина става по ГОСТ </w:t>
      </w:r>
      <w:proofErr w:type="gramStart"/>
      <w:r w:rsidRPr="002B5056">
        <w:rPr>
          <w:color w:val="000000"/>
        </w:rPr>
        <w:t>Р</w:t>
      </w:r>
      <w:proofErr w:type="gramEnd"/>
      <w:r w:rsidRPr="002B5056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51042, мм"/>
        </w:smartTagPr>
        <w:r w:rsidRPr="002B5056">
          <w:rPr>
            <w:color w:val="000000"/>
          </w:rPr>
          <w:t>51042, мм</w:t>
        </w:r>
      </w:smartTag>
      <w:r w:rsidRPr="002B5056">
        <w:rPr>
          <w:color w:val="000000"/>
        </w:rPr>
        <w:t>;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aps/>
          <w:color w:val="000000"/>
        </w:rPr>
        <w:sym w:font="Symbol" w:char="0062"/>
      </w:r>
      <w:r w:rsidRPr="002B5056">
        <w:rPr>
          <w:caps/>
          <w:color w:val="000000"/>
          <w:vertAlign w:val="subscript"/>
        </w:rPr>
        <w:t>1</w:t>
      </w:r>
      <w:r w:rsidRPr="002B5056">
        <w:rPr>
          <w:caps/>
          <w:color w:val="000000"/>
        </w:rPr>
        <w:t xml:space="preserve"> -</w:t>
      </w:r>
      <w:r w:rsidRPr="002B5056">
        <w:rPr>
          <w:color w:val="000000"/>
        </w:rPr>
        <w:t xml:space="preserve"> угол наклона продольной оси бокового ролика трех роликовой опоры к горизонтальной оси °;</w:t>
      </w:r>
    </w:p>
    <w:p w:rsidR="002B5056" w:rsidRPr="002B5056" w:rsidRDefault="002B5056" w:rsidP="002B5056">
      <w:pPr>
        <w:widowControl/>
        <w:autoSpaceDE/>
        <w:autoSpaceDN/>
        <w:adjustRightInd/>
        <w:rPr>
          <w:color w:val="000000"/>
        </w:rPr>
      </w:pPr>
      <w:r w:rsidRPr="002B5056">
        <w:rPr>
          <w:color w:val="000000"/>
        </w:rPr>
        <w:sym w:font="Symbol" w:char="0062"/>
      </w:r>
      <w:r w:rsidRPr="002B5056">
        <w:rPr>
          <w:color w:val="000000"/>
          <w:vertAlign w:val="subscript"/>
        </w:rPr>
        <w:t>2</w:t>
      </w:r>
      <w:r w:rsidRPr="002B5056">
        <w:rPr>
          <w:color w:val="000000"/>
        </w:rPr>
        <w:t xml:space="preserve"> - угол наклона продольной оси ролика двух роликовой опоры к горизонтальной оси, 26 Значения допустимых моментов сопротивления вращению ролика при различной длине его обечайки приведены в таблице 4.</w:t>
      </w:r>
    </w:p>
    <w:p w:rsidR="002B5056" w:rsidRPr="002B5056" w:rsidRDefault="002B5056" w:rsidP="002B5056">
      <w:pPr>
        <w:widowControl/>
        <w:autoSpaceDE/>
        <w:autoSpaceDN/>
        <w:adjustRightInd/>
        <w:rPr>
          <w:b/>
          <w:bCs/>
          <w:color w:val="000000"/>
        </w:rPr>
      </w:pPr>
    </w:p>
    <w:p w:rsidR="002B5056" w:rsidRPr="002B5056" w:rsidRDefault="002B5056" w:rsidP="002B5056">
      <w:pPr>
        <w:widowControl/>
        <w:autoSpaceDE/>
        <w:autoSpaceDN/>
        <w:adjustRightInd/>
        <w:rPr>
          <w:color w:val="000000"/>
        </w:rPr>
      </w:pPr>
      <w:r w:rsidRPr="002B5056">
        <w:rPr>
          <w:b/>
          <w:bCs/>
          <w:color w:val="000000"/>
        </w:rPr>
        <w:t>Таблица 4</w:t>
      </w:r>
    </w:p>
    <w:p w:rsidR="002B5056" w:rsidRPr="002B5056" w:rsidRDefault="002B5056" w:rsidP="002B5056">
      <w:pPr>
        <w:widowControl/>
        <w:autoSpaceDE/>
        <w:autoSpaceDN/>
        <w:adjustRightInd/>
        <w:rPr>
          <w:color w:val="000000"/>
        </w:rPr>
      </w:pPr>
    </w:p>
    <w:tbl>
      <w:tblPr>
        <w:tblStyle w:val="a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3969"/>
        <w:gridCol w:w="3935"/>
      </w:tblGrid>
      <w:tr w:rsidR="002B5056" w:rsidRPr="002B5056" w:rsidTr="002B5056">
        <w:trPr>
          <w:trHeight w:val="413"/>
        </w:trPr>
        <w:tc>
          <w:tcPr>
            <w:tcW w:w="5000" w:type="pct"/>
            <w:gridSpan w:val="3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Размеры в миллиметрах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 xml:space="preserve">Диаметр ролика </w:t>
            </w:r>
            <w:r w:rsidRPr="002B5056">
              <w:rPr>
                <w:b/>
                <w:bCs/>
                <w:i/>
                <w:color w:val="000000"/>
                <w:lang w:val="en-US"/>
              </w:rPr>
              <w:t>d</w:t>
            </w: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 xml:space="preserve">Длина обечайки </w:t>
            </w:r>
            <w:r w:rsidRPr="002B5056">
              <w:rPr>
                <w:b/>
                <w:bCs/>
                <w:i/>
                <w:color w:val="000000"/>
                <w:lang w:val="en-US"/>
              </w:rPr>
              <w:t>L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 xml:space="preserve">Допустимый момент сопротивления вращению, Н </w:t>
            </w:r>
            <w:r w:rsidRPr="002B5056">
              <w:rPr>
                <w:b/>
                <w:bCs/>
                <w:color w:val="000000"/>
              </w:rPr>
              <w:sym w:font="Symbol" w:char="00D7"/>
            </w:r>
            <w:r w:rsidRPr="002B5056">
              <w:rPr>
                <w:b/>
                <w:bCs/>
                <w:color w:val="000000"/>
              </w:rPr>
              <w:t xml:space="preserve"> м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89</w:t>
            </w: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lang w:val="en-US"/>
              </w:rPr>
            </w:pPr>
            <w:r w:rsidRPr="002B5056">
              <w:rPr>
                <w:color w:val="000000"/>
              </w:rPr>
              <w:t>250, 280, 315, 350, 380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0,25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430, 465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0,28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750, 950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0,4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lang w:val="en-US"/>
              </w:rPr>
            </w:pPr>
            <w:r w:rsidRPr="002B5056">
              <w:rPr>
                <w:color w:val="000000"/>
              </w:rPr>
              <w:t>360, 380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0,2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108</w:t>
            </w: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530, 600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0,23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1150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0,35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360, 380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0,25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127, 133</w:t>
            </w: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425, 465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0,28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530, 600, 670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0,3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1150, 1350, 1400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0,5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360, 380, 425, 465, 530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0,35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159</w:t>
            </w: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600, 670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0,4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750, 900, 1150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0,45</w:t>
            </w:r>
          </w:p>
        </w:tc>
      </w:tr>
      <w:tr w:rsidR="002B5056" w:rsidRPr="002B5056" w:rsidTr="002B5056">
        <w:tc>
          <w:tcPr>
            <w:tcW w:w="1300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858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1350, 1400, 1600, 1800</w:t>
            </w:r>
          </w:p>
        </w:tc>
        <w:tc>
          <w:tcPr>
            <w:tcW w:w="1842" w:type="pct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0,6</w:t>
            </w:r>
          </w:p>
        </w:tc>
      </w:tr>
    </w:tbl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color w:val="000000"/>
        </w:rPr>
      </w:pPr>
      <w:r w:rsidRPr="002B5056">
        <w:rPr>
          <w:b/>
          <w:color w:val="000000"/>
        </w:rPr>
        <w:t>5.3 Требования надежности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>5.3.1 90 %-</w:t>
      </w:r>
      <w:proofErr w:type="spellStart"/>
      <w:r w:rsidRPr="002B5056">
        <w:rPr>
          <w:color w:val="000000"/>
        </w:rPr>
        <w:t>ный</w:t>
      </w:r>
      <w:proofErr w:type="spellEnd"/>
      <w:r w:rsidRPr="002B5056">
        <w:rPr>
          <w:color w:val="000000"/>
        </w:rPr>
        <w:t xml:space="preserve"> ресурс роликов приведен в таблице 5.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  <w:r w:rsidRPr="002B5056">
        <w:rPr>
          <w:b/>
          <w:bCs/>
          <w:color w:val="000000"/>
        </w:rPr>
        <w:t>Таблица 5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</w:p>
    <w:tbl>
      <w:tblPr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336"/>
        <w:gridCol w:w="1336"/>
        <w:gridCol w:w="1335"/>
        <w:gridCol w:w="1335"/>
        <w:gridCol w:w="1335"/>
        <w:gridCol w:w="1335"/>
        <w:gridCol w:w="1335"/>
        <w:gridCol w:w="1335"/>
      </w:tblGrid>
      <w:tr w:rsidR="002B5056" w:rsidRPr="002B5056" w:rsidTr="002B5056">
        <w:tc>
          <w:tcPr>
            <w:tcW w:w="625" w:type="pct"/>
            <w:vMerge w:val="restar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 xml:space="preserve">Диаметр ролика </w:t>
            </w:r>
            <w:r w:rsidRPr="002B5056">
              <w:rPr>
                <w:b/>
                <w:bCs/>
                <w:iCs/>
                <w:color w:val="000000"/>
                <w:lang w:val="en-US"/>
              </w:rPr>
              <w:t>d</w:t>
            </w:r>
            <w:r w:rsidRPr="002B5056">
              <w:rPr>
                <w:b/>
                <w:bCs/>
                <w:iCs/>
                <w:color w:val="000000"/>
              </w:rPr>
              <w:t xml:space="preserve">, </w:t>
            </w:r>
            <w:r w:rsidRPr="002B5056">
              <w:rPr>
                <w:b/>
                <w:bCs/>
                <w:color w:val="000000"/>
              </w:rPr>
              <w:t>мм</w:t>
            </w:r>
          </w:p>
        </w:tc>
        <w:tc>
          <w:tcPr>
            <w:tcW w:w="4375" w:type="pct"/>
            <w:gridSpan w:val="7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90 %-</w:t>
            </w:r>
            <w:proofErr w:type="spellStart"/>
            <w:r w:rsidRPr="002B5056">
              <w:rPr>
                <w:b/>
                <w:bCs/>
                <w:color w:val="000000"/>
              </w:rPr>
              <w:t>ный</w:t>
            </w:r>
            <w:proofErr w:type="spellEnd"/>
            <w:r w:rsidRPr="002B5056">
              <w:rPr>
                <w:b/>
                <w:bCs/>
                <w:color w:val="000000"/>
              </w:rPr>
              <w:t xml:space="preserve"> ресурс роликов, ч, машинного времени, при нормальной скорости ленты, м/</w:t>
            </w:r>
            <w:proofErr w:type="gramStart"/>
            <w:r w:rsidRPr="002B5056">
              <w:rPr>
                <w:b/>
                <w:bCs/>
                <w:color w:val="000000"/>
              </w:rPr>
              <w:t>с</w:t>
            </w:r>
            <w:proofErr w:type="gramEnd"/>
          </w:p>
        </w:tc>
      </w:tr>
      <w:tr w:rsidR="002B5056" w:rsidRPr="002B5056" w:rsidTr="002B505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1,6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2,5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3,15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4,5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5</w:t>
            </w:r>
          </w:p>
        </w:tc>
      </w:tr>
      <w:tr w:rsidR="002B5056" w:rsidRPr="002B5056" w:rsidTr="002B5056"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89; 108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6500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</w:tr>
      <w:tr w:rsidR="002B5056" w:rsidRPr="002B5056" w:rsidTr="002B5056"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127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12500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</w:tr>
      <w:tr w:rsidR="002B5056" w:rsidRPr="002B5056" w:rsidTr="002B5056"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133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12500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</w:tr>
      <w:tr w:rsidR="002B5056" w:rsidRPr="002B5056" w:rsidTr="002B5056"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159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11000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9000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10000</w:t>
            </w:r>
          </w:p>
        </w:tc>
      </w:tr>
    </w:tbl>
    <w:p w:rsidR="002B5056" w:rsidRPr="002B5056" w:rsidRDefault="002B5056" w:rsidP="002B5056">
      <w:pPr>
        <w:widowControl/>
        <w:shd w:val="clear" w:color="auto" w:fill="FFFFFF"/>
        <w:rPr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rPr>
          <w:color w:val="000000"/>
        </w:rPr>
      </w:pPr>
      <w:r w:rsidRPr="002B5056">
        <w:rPr>
          <w:color w:val="000000"/>
        </w:rPr>
        <w:t>4.2</w:t>
      </w:r>
      <w:proofErr w:type="gramStart"/>
      <w:r w:rsidRPr="002B5056">
        <w:rPr>
          <w:color w:val="000000"/>
        </w:rPr>
        <w:t xml:space="preserve"> Д</w:t>
      </w:r>
      <w:proofErr w:type="gramEnd"/>
      <w:r w:rsidRPr="002B5056">
        <w:rPr>
          <w:color w:val="000000"/>
        </w:rPr>
        <w:t>ля поддержания верхней ветви ленты следует использовать трех роликовые опоры, на нижней ветви ленты в линейной части става - двух- или трех роликовые опоры.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  <w:r w:rsidRPr="002B5056">
        <w:rPr>
          <w:color w:val="000000"/>
        </w:rPr>
        <w:t>4.3 Угол наклона боковых роликов трех роликовой опоры следует выбирать из значений 30°, 35° и 45°; угол наклона роликов двух роликовой опоры - из значений 10°, 15°.</w:t>
      </w:r>
    </w:p>
    <w:p w:rsidR="002B5056" w:rsidRPr="002B5056" w:rsidRDefault="002B5056" w:rsidP="002B5056">
      <w:pPr>
        <w:widowControl/>
        <w:shd w:val="clear" w:color="auto" w:fill="FFFFFF"/>
        <w:rPr>
          <w:color w:val="000000"/>
        </w:rPr>
      </w:pPr>
      <w:r w:rsidRPr="002B5056">
        <w:rPr>
          <w:color w:val="000000"/>
        </w:rPr>
        <w:t xml:space="preserve">4.4 Фактическая приемная способность конвейера при соответствующих значениях скорости ленты, угла наклона боковых роликов и ширины ленты при углах наклона конвейера </w:t>
      </w:r>
      <w:proofErr w:type="gramStart"/>
      <w:r w:rsidRPr="002B5056">
        <w:rPr>
          <w:color w:val="000000"/>
        </w:rPr>
        <w:t>от</w:t>
      </w:r>
      <w:proofErr w:type="gramEnd"/>
      <w:r w:rsidRPr="002B5056">
        <w:rPr>
          <w:color w:val="000000"/>
        </w:rPr>
        <w:t xml:space="preserve"> минус 6° до плюс 6° должна быть не менее указанной в таблице 2.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  <w:bookmarkStart w:id="3" w:name="t2"/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  <w:r w:rsidRPr="002B5056">
        <w:rPr>
          <w:b/>
          <w:bCs/>
          <w:color w:val="000000"/>
        </w:rPr>
        <w:t>Таблица 2</w:t>
      </w:r>
      <w:bookmarkEnd w:id="3"/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</w:p>
    <w:tbl>
      <w:tblPr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334"/>
        <w:gridCol w:w="1336"/>
        <w:gridCol w:w="1335"/>
        <w:gridCol w:w="1335"/>
        <w:gridCol w:w="1335"/>
        <w:gridCol w:w="1335"/>
        <w:gridCol w:w="1335"/>
        <w:gridCol w:w="1337"/>
      </w:tblGrid>
      <w:tr w:rsidR="002B5056" w:rsidRPr="002B5056" w:rsidTr="002B5056"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sym w:font="Symbol" w:char="0062"/>
            </w:r>
            <w:r w:rsidRPr="002B5056">
              <w:rPr>
                <w:b/>
                <w:bCs/>
                <w:color w:val="000000"/>
                <w:vertAlign w:val="subscript"/>
              </w:rPr>
              <w:t>1</w:t>
            </w:r>
          </w:p>
        </w:tc>
        <w:tc>
          <w:tcPr>
            <w:tcW w:w="625" w:type="pct"/>
            <w:vMerge w:val="restar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Скорость ленты, м/</w:t>
            </w:r>
            <w:proofErr w:type="gramStart"/>
            <w:r w:rsidRPr="002B5056">
              <w:rPr>
                <w:b/>
                <w:bCs/>
                <w:color w:val="000000"/>
              </w:rPr>
              <w:t>с</w:t>
            </w:r>
            <w:proofErr w:type="gramEnd"/>
          </w:p>
        </w:tc>
        <w:tc>
          <w:tcPr>
            <w:tcW w:w="3750" w:type="pct"/>
            <w:gridSpan w:val="6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Расчетная приемная способность, м</w:t>
            </w:r>
            <w:r w:rsidRPr="002B5056">
              <w:rPr>
                <w:b/>
                <w:bCs/>
                <w:color w:val="000000"/>
                <w:vertAlign w:val="superscript"/>
              </w:rPr>
              <w:t>3</w:t>
            </w:r>
            <w:r w:rsidRPr="002B5056">
              <w:rPr>
                <w:b/>
                <w:bCs/>
                <w:color w:val="000000"/>
              </w:rPr>
              <w:t xml:space="preserve">/мин, при ширине ленты, </w:t>
            </w:r>
            <w:proofErr w:type="gramStart"/>
            <w:r w:rsidRPr="002B5056">
              <w:rPr>
                <w:b/>
                <w:bCs/>
                <w:color w:val="000000"/>
              </w:rPr>
              <w:t>мм</w:t>
            </w:r>
            <w:proofErr w:type="gramEnd"/>
          </w:p>
        </w:tc>
      </w:tr>
      <w:tr w:rsidR="002B5056" w:rsidRPr="002B5056" w:rsidTr="002B5056"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800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1200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1400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1600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2,5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4,1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6,7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9,8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13,4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17,6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1,6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6,6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10,7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15,8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21,4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28,2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13,4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19,8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26,8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35,2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30°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2,5 3,15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16,7 21,1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24,7 31,2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33,5 42,2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44 55,4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39,6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53,6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70,4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4,5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44,5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60,3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79,2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49,5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88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2,7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4,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10,5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14,2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18,7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1,6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4,3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6,9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11,2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16,8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22,7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29,9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5,4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8,6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21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28,4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37,4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35°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2,5 3,15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6,7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10,7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17,5 22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26,2 33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35,5 44,7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46,7 58,9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56,8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74,8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4,5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47,2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63,9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84,1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52,5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71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93,5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2,9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4,7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7,6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11,2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15,2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19,9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1,6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4,6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7,6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12,2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17,9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24,3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31,8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9,2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9,4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15,2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22,4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30,4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39,8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45°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2,5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7,2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11,7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19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49,7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3,15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23,9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35,3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47,9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62,7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44,8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60,8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79,6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4,5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50,4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68,4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89,5</w:t>
            </w:r>
          </w:p>
        </w:tc>
      </w:tr>
      <w:tr w:rsidR="002B5056" w:rsidRPr="002B5056" w:rsidTr="002B5056">
        <w:tc>
          <w:tcPr>
            <w:tcW w:w="62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-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76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99,5</w:t>
            </w:r>
          </w:p>
        </w:tc>
      </w:tr>
      <w:tr w:rsidR="002B5056" w:rsidRPr="002B5056" w:rsidTr="002B5056"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Примечания</w:t>
            </w:r>
          </w:p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</w:t>
            </w:r>
            <w:proofErr w:type="gramStart"/>
            <w:r w:rsidRPr="002B5056">
              <w:rPr>
                <w:color w:val="000000"/>
              </w:rPr>
              <w:t xml:space="preserve"> П</w:t>
            </w:r>
            <w:proofErr w:type="gramEnd"/>
            <w:r w:rsidRPr="002B5056">
              <w:rPr>
                <w:color w:val="000000"/>
              </w:rPr>
              <w:t xml:space="preserve">ри углах наклона конвейера от минус </w:t>
            </w:r>
            <w:r w:rsidRPr="002B5056">
              <w:rPr>
                <w:iCs/>
                <w:color w:val="000000"/>
              </w:rPr>
              <w:t xml:space="preserve">16° </w:t>
            </w:r>
            <w:r w:rsidRPr="002B5056">
              <w:rPr>
                <w:color w:val="000000"/>
              </w:rPr>
              <w:t xml:space="preserve">до минус </w:t>
            </w:r>
            <w:r w:rsidRPr="002B5056">
              <w:rPr>
                <w:iCs/>
                <w:color w:val="000000"/>
              </w:rPr>
              <w:t xml:space="preserve">6° </w:t>
            </w:r>
            <w:r w:rsidRPr="002B5056">
              <w:rPr>
                <w:color w:val="000000"/>
              </w:rPr>
              <w:t>и от плюс 6° до плюс 18° приемная способность должна составлять 0,95 указанных в таблице значений.</w:t>
            </w:r>
          </w:p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</w:t>
            </w:r>
            <w:proofErr w:type="gramStart"/>
            <w:r w:rsidRPr="002B5056">
              <w:rPr>
                <w:color w:val="000000"/>
              </w:rPr>
              <w:t xml:space="preserve"> П</w:t>
            </w:r>
            <w:proofErr w:type="gramEnd"/>
            <w:r w:rsidRPr="002B5056">
              <w:rPr>
                <w:color w:val="000000"/>
              </w:rPr>
              <w:t>ри углах наклона конвейера от минус 25° до минус 16° и от плюс 18° до плюс 25° приемная способность должна составлять 0,8 указанных в таблице значений.</w:t>
            </w:r>
          </w:p>
        </w:tc>
      </w:tr>
    </w:tbl>
    <w:p w:rsidR="002B5056" w:rsidRPr="002B5056" w:rsidRDefault="002B5056" w:rsidP="002B5056">
      <w:pPr>
        <w:widowControl/>
        <w:shd w:val="clear" w:color="auto" w:fill="FFFFFF"/>
        <w:rPr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rPr>
          <w:color w:val="000000"/>
        </w:rPr>
      </w:pPr>
      <w:r w:rsidRPr="002B5056">
        <w:rPr>
          <w:color w:val="000000"/>
        </w:rPr>
        <w:t xml:space="preserve">4.5 Основные номинальные размеры ролика опор и роликов следует выбирать из приведенных значений в таблице 3 в соответствии с </w:t>
      </w:r>
      <w:hyperlink r:id="rId15" w:anchor="r1#r1" w:tooltip="рисунок 1" w:history="1">
        <w:r w:rsidRPr="002B5056">
          <w:rPr>
            <w:color w:val="000000"/>
            <w:u w:val="single"/>
          </w:rPr>
          <w:t>рисунками 1</w:t>
        </w:r>
      </w:hyperlink>
      <w:r w:rsidRPr="002B5056">
        <w:rPr>
          <w:color w:val="000000"/>
        </w:rPr>
        <w:t>-</w:t>
      </w:r>
      <w:hyperlink r:id="rId16" w:anchor="r5#r5" w:tooltip="рисунок 5" w:history="1">
        <w:r w:rsidRPr="002B5056">
          <w:rPr>
            <w:color w:val="000000"/>
            <w:u w:val="single"/>
          </w:rPr>
          <w:t>5</w:t>
        </w:r>
      </w:hyperlink>
      <w:r w:rsidRPr="002B5056">
        <w:rPr>
          <w:color w:val="000000"/>
        </w:rPr>
        <w:t>.</w:t>
      </w:r>
      <w:bookmarkStart w:id="4" w:name="t3"/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  <w:r w:rsidRPr="002B5056">
        <w:rPr>
          <w:b/>
          <w:bCs/>
          <w:color w:val="000000"/>
        </w:rPr>
        <w:t>Таблица 3</w:t>
      </w:r>
      <w:bookmarkEnd w:id="4"/>
    </w:p>
    <w:p w:rsidR="002B5056" w:rsidRPr="002B5056" w:rsidRDefault="002B5056" w:rsidP="002B5056">
      <w:pPr>
        <w:widowControl/>
        <w:shd w:val="clear" w:color="auto" w:fill="FFFFFF"/>
        <w:autoSpaceDE/>
        <w:autoSpaceDN/>
        <w:rPr>
          <w:b/>
          <w:bCs/>
          <w:color w:val="000000"/>
        </w:rPr>
      </w:pPr>
    </w:p>
    <w:tbl>
      <w:tblPr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526"/>
        <w:gridCol w:w="1526"/>
        <w:gridCol w:w="1525"/>
        <w:gridCol w:w="1530"/>
        <w:gridCol w:w="1525"/>
        <w:gridCol w:w="1525"/>
        <w:gridCol w:w="1525"/>
      </w:tblGrid>
      <w:tr w:rsidR="002B5056" w:rsidRPr="002B5056" w:rsidTr="002B5056"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Размеры в миллиметрах</w:t>
            </w:r>
          </w:p>
        </w:tc>
      </w:tr>
      <w:tr w:rsidR="002B5056" w:rsidRPr="002B5056" w:rsidTr="002B5056">
        <w:tc>
          <w:tcPr>
            <w:tcW w:w="714" w:type="pct"/>
            <w:vMerge w:val="restar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Ширина ленты</w:t>
            </w:r>
          </w:p>
        </w:tc>
        <w:tc>
          <w:tcPr>
            <w:tcW w:w="2144" w:type="pct"/>
            <w:gridSpan w:val="3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i/>
                <w:color w:val="000000"/>
                <w:lang w:val="en-US"/>
              </w:rPr>
              <w:t xml:space="preserve">L </w:t>
            </w:r>
            <w:r w:rsidRPr="002B5056">
              <w:rPr>
                <w:b/>
                <w:bCs/>
                <w:color w:val="000000"/>
              </w:rPr>
              <w:t>на рисунках</w:t>
            </w:r>
          </w:p>
        </w:tc>
        <w:tc>
          <w:tcPr>
            <w:tcW w:w="714" w:type="pct"/>
            <w:vMerge w:val="restar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i/>
                <w:color w:val="000000"/>
              </w:rPr>
            </w:pPr>
            <w:r w:rsidRPr="002B5056">
              <w:rPr>
                <w:b/>
                <w:bCs/>
                <w:i/>
                <w:color w:val="000000"/>
                <w:lang w:val="en-US"/>
              </w:rPr>
              <w:t>d</w:t>
            </w:r>
          </w:p>
        </w:tc>
        <w:tc>
          <w:tcPr>
            <w:tcW w:w="714" w:type="pct"/>
            <w:vMerge w:val="restar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i/>
                <w:color w:val="000000"/>
              </w:rPr>
              <w:t>а</w:t>
            </w:r>
            <w:r w:rsidRPr="002B5056">
              <w:rPr>
                <w:b/>
                <w:bCs/>
                <w:iCs/>
                <w:color w:val="000000"/>
              </w:rPr>
              <w:t>*</w:t>
            </w:r>
            <w:proofErr w:type="gramStart"/>
            <w:r w:rsidRPr="002B5056">
              <w:rPr>
                <w:b/>
                <w:bCs/>
                <w:iCs/>
                <w:color w:val="000000"/>
              </w:rPr>
              <w:t xml:space="preserve"> ,</w:t>
            </w:r>
            <w:proofErr w:type="gramEnd"/>
            <w:r w:rsidRPr="002B5056">
              <w:rPr>
                <w:b/>
                <w:bCs/>
                <w:iCs/>
                <w:color w:val="000000"/>
              </w:rPr>
              <w:t xml:space="preserve"> </w:t>
            </w:r>
            <w:r w:rsidRPr="002B5056">
              <w:rPr>
                <w:b/>
                <w:bCs/>
                <w:color w:val="000000"/>
              </w:rPr>
              <w:t>не менее</w:t>
            </w:r>
          </w:p>
        </w:tc>
        <w:tc>
          <w:tcPr>
            <w:tcW w:w="714" w:type="pct"/>
            <w:vMerge w:val="restar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i/>
                <w:color w:val="000000"/>
              </w:rPr>
              <w:t>е</w:t>
            </w:r>
            <w:r w:rsidRPr="002B5056">
              <w:rPr>
                <w:b/>
                <w:bCs/>
                <w:iCs/>
                <w:color w:val="000000"/>
              </w:rPr>
              <w:t xml:space="preserve">, </w:t>
            </w:r>
            <w:r w:rsidRPr="002B5056">
              <w:rPr>
                <w:b/>
                <w:bCs/>
                <w:color w:val="000000"/>
              </w:rPr>
              <w:t>не более</w:t>
            </w:r>
          </w:p>
        </w:tc>
      </w:tr>
      <w:tr w:rsidR="002B5056" w:rsidRPr="002B5056" w:rsidTr="002B505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1; 2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3; 4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2B5056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2B5056" w:rsidRPr="002B5056" w:rsidTr="002B5056"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650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250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350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750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89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1000</w:t>
            </w:r>
          </w:p>
        </w:tc>
      </w:tr>
      <w:tr w:rsidR="002B5056" w:rsidRPr="002B5056" w:rsidTr="002B5056"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380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B5056" w:rsidRPr="002B5056" w:rsidTr="002B5056"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800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280**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430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950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89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1200</w:t>
            </w:r>
          </w:p>
        </w:tc>
      </w:tr>
      <w:tr w:rsidR="002B5056" w:rsidRPr="002B5056" w:rsidTr="002B5056"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315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465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B5056" w:rsidRPr="002B5056" w:rsidTr="002B5056"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1000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360**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530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1150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108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1400</w:t>
            </w:r>
          </w:p>
        </w:tc>
      </w:tr>
      <w:tr w:rsidR="002B5056" w:rsidRPr="002B5056" w:rsidTr="002B5056"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380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600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127; 133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35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B5056" w:rsidRPr="002B5056" w:rsidTr="002B5056"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159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B5056" w:rsidRPr="002B5056" w:rsidTr="002B5056"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1200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425**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670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1400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127; 133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35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1650</w:t>
            </w:r>
          </w:p>
        </w:tc>
      </w:tr>
      <w:tr w:rsidR="002B5056" w:rsidRPr="002B5056" w:rsidTr="002B5056"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465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1350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159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2B5056" w:rsidRPr="002B5056" w:rsidTr="002B5056"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1400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530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750 800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1600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159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1800</w:t>
            </w:r>
          </w:p>
        </w:tc>
      </w:tr>
      <w:tr w:rsidR="002B5056" w:rsidRPr="002B5056" w:rsidTr="002B5056"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1600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600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900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1800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159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50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2050</w:t>
            </w:r>
          </w:p>
        </w:tc>
      </w:tr>
      <w:tr w:rsidR="002B5056" w:rsidRPr="002B5056" w:rsidTr="002B5056"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2B5056" w:rsidRPr="002B5056" w:rsidRDefault="002B5056" w:rsidP="002B505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* Только для ролика опор, ролики которых расположены в одной плоскости, а траверса выполнена плоской или имеет плоские участки, параллельные продольным осям роликов.</w:t>
            </w:r>
          </w:p>
          <w:p w:rsidR="002B5056" w:rsidRPr="002B5056" w:rsidRDefault="002B5056" w:rsidP="002B5056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2B5056">
              <w:rPr>
                <w:color w:val="000000"/>
              </w:rPr>
              <w:t>** Для конвейеров, выпуск которых освоен до введения настоящего стандарта.</w:t>
            </w:r>
          </w:p>
        </w:tc>
      </w:tr>
    </w:tbl>
    <w:p w:rsidR="002B5056" w:rsidRPr="002B5056" w:rsidRDefault="002B5056" w:rsidP="002B5056">
      <w:pPr>
        <w:widowControl/>
        <w:shd w:val="clear" w:color="auto" w:fill="FFFFFF"/>
        <w:autoSpaceDE/>
        <w:autoSpaceDN/>
        <w:rPr>
          <w:color w:val="000000"/>
        </w:rPr>
      </w:pPr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center"/>
        <w:rPr>
          <w:color w:val="000000"/>
        </w:rPr>
      </w:pPr>
      <w:bookmarkStart w:id="5" w:name="r1"/>
      <w:r w:rsidRPr="002B5056">
        <w:rPr>
          <w:noProof/>
          <w:color w:val="000000"/>
        </w:rPr>
        <w:drawing>
          <wp:inline distT="0" distB="0" distL="0" distR="0" wp14:anchorId="79088762" wp14:editId="573EB5C8">
            <wp:extent cx="4686300" cy="1743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center"/>
        <w:rPr>
          <w:color w:val="000000"/>
        </w:rPr>
      </w:pPr>
      <w:r w:rsidRPr="002B5056">
        <w:rPr>
          <w:color w:val="000000"/>
        </w:rPr>
        <w:t>Рисунок 1 - Жесткая трех роликовая опора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center"/>
        <w:rPr>
          <w:color w:val="000000"/>
        </w:rPr>
      </w:pPr>
      <w:bookmarkStart w:id="6" w:name="r2"/>
      <w:r w:rsidRPr="002B5056">
        <w:rPr>
          <w:noProof/>
          <w:color w:val="000000"/>
        </w:rPr>
        <w:drawing>
          <wp:inline distT="0" distB="0" distL="0" distR="0" wp14:anchorId="1672646F" wp14:editId="3D83A24F">
            <wp:extent cx="4762500" cy="1790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center"/>
        <w:rPr>
          <w:color w:val="000000"/>
        </w:rPr>
      </w:pPr>
      <w:r w:rsidRPr="002B5056">
        <w:rPr>
          <w:color w:val="000000"/>
        </w:rPr>
        <w:t>Рисунок 2 – Трех роликовая гирляндная опора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center"/>
        <w:rPr>
          <w:color w:val="000000"/>
        </w:rPr>
      </w:pPr>
      <w:bookmarkStart w:id="7" w:name="r3"/>
      <w:r w:rsidRPr="002B5056">
        <w:rPr>
          <w:noProof/>
          <w:color w:val="000000"/>
        </w:rPr>
        <w:drawing>
          <wp:inline distT="0" distB="0" distL="0" distR="0" wp14:anchorId="7DF67C13" wp14:editId="7402DAC3">
            <wp:extent cx="4686300" cy="133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center"/>
        <w:rPr>
          <w:color w:val="000000"/>
        </w:rPr>
      </w:pPr>
      <w:r w:rsidRPr="002B5056">
        <w:rPr>
          <w:color w:val="000000"/>
        </w:rPr>
        <w:t>Рисунок 3 - Жесткая двух роликовая опора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center"/>
        <w:rPr>
          <w:color w:val="000000"/>
        </w:rPr>
      </w:pPr>
      <w:bookmarkStart w:id="8" w:name="r4"/>
      <w:r w:rsidRPr="002B5056">
        <w:rPr>
          <w:noProof/>
          <w:color w:val="000000"/>
        </w:rPr>
        <w:drawing>
          <wp:inline distT="0" distB="0" distL="0" distR="0" wp14:anchorId="2C8F6067" wp14:editId="1372291C">
            <wp:extent cx="438150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center"/>
        <w:rPr>
          <w:color w:val="000000"/>
        </w:rPr>
      </w:pPr>
      <w:r w:rsidRPr="002B5056">
        <w:rPr>
          <w:color w:val="000000"/>
        </w:rPr>
        <w:t>Рисунок 4 – Двух роликовая гирляндная опора</w:t>
      </w:r>
    </w:p>
    <w:p w:rsidR="002B5056" w:rsidRPr="002B5056" w:rsidRDefault="002B5056" w:rsidP="002B5056">
      <w:pPr>
        <w:widowControl/>
        <w:shd w:val="clear" w:color="auto" w:fill="FFFFFF"/>
        <w:autoSpaceDE/>
        <w:autoSpaceDN/>
        <w:jc w:val="center"/>
        <w:rPr>
          <w:color w:val="000000"/>
        </w:rPr>
      </w:pPr>
      <w:bookmarkStart w:id="9" w:name="r5"/>
      <w:r w:rsidRPr="002B5056">
        <w:rPr>
          <w:noProof/>
          <w:color w:val="000000"/>
        </w:rPr>
        <w:drawing>
          <wp:inline distT="0" distB="0" distL="0" distR="0" wp14:anchorId="1D9FDAE9" wp14:editId="189DD7EA">
            <wp:extent cx="44481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2B5056" w:rsidRPr="002B5056" w:rsidRDefault="002B5056" w:rsidP="002B5056">
      <w:pPr>
        <w:widowControl/>
        <w:autoSpaceDE/>
        <w:autoSpaceDN/>
        <w:adjustRightInd/>
        <w:jc w:val="center"/>
      </w:pPr>
      <w:r w:rsidRPr="002B5056">
        <w:rPr>
          <w:color w:val="000000"/>
        </w:rPr>
        <w:t>Рисунок 5 – Одно роликовая опора</w:t>
      </w:r>
    </w:p>
    <w:sectPr w:rsidR="002B5056" w:rsidRPr="002B5056" w:rsidSect="002B5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9"/>
    <w:rsid w:val="002B5056"/>
    <w:rsid w:val="004B67AD"/>
    <w:rsid w:val="00E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B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B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Program%20Files/StroyConsultant/Temp/2990.htm" TargetMode="External"/><Relationship Id="rId13" Type="http://schemas.openxmlformats.org/officeDocument/2006/relationships/hyperlink" Target="../../../../1/Downloads/10230.htm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.rosrez.ru" TargetMode="External"/><Relationship Id="rId12" Type="http://schemas.openxmlformats.org/officeDocument/2006/relationships/hyperlink" Target="../../../../1/Downloads/10230.htm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../../../../1/Downloads/10230.htm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11" Type="http://schemas.openxmlformats.org/officeDocument/2006/relationships/hyperlink" Target="../../../../1/Downloads/10230.htm" TargetMode="External"/><Relationship Id="rId5" Type="http://schemas.openxmlformats.org/officeDocument/2006/relationships/image" Target="media/image1.png"/><Relationship Id="rId15" Type="http://schemas.openxmlformats.org/officeDocument/2006/relationships/hyperlink" Target="../../../../1/Downloads/10230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../../../../1/Downloads/10230.ht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../../../../1/Downloads/10230.htm" TargetMode="External"/><Relationship Id="rId14" Type="http://schemas.openxmlformats.org/officeDocument/2006/relationships/hyperlink" Target="../../../../1/Downloads/10230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1050</Words>
  <Characters>5988</Characters>
  <Application>Microsoft Office Word</Application>
  <DocSecurity>0</DocSecurity>
  <Lines>49</Lines>
  <Paragraphs>14</Paragraphs>
  <ScaleCrop>false</ScaleCrop>
  <Company>*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2019-11-28T06:51:00Z</dcterms:created>
  <dcterms:modified xsi:type="dcterms:W3CDTF">2019-11-28T06:57:00Z</dcterms:modified>
</cp:coreProperties>
</file>