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D2" w:rsidRPr="00D52A5F" w:rsidRDefault="00AF75D2" w:rsidP="00AF75D2">
      <w:pPr>
        <w:widowControl/>
        <w:tabs>
          <w:tab w:val="center" w:pos="4677"/>
          <w:tab w:val="right" w:pos="9355"/>
        </w:tabs>
        <w:autoSpaceDE/>
        <w:autoSpaceDN/>
        <w:adjustRightInd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07AFA8D" wp14:editId="18EADB60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75D2" w:rsidRDefault="00AF75D2" w:rsidP="00AF75D2">
                            <w:pPr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D1793A3" wp14:editId="0C87D83E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F75D2" w:rsidRDefault="00AF75D2" w:rsidP="00AF75D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AF75D2" w:rsidRDefault="00AF75D2" w:rsidP="00AF75D2">
                      <w:pPr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D1793A3" wp14:editId="0C87D83E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F75D2" w:rsidRDefault="00AF75D2" w:rsidP="00AF75D2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D52A5F">
        <w:rPr>
          <w:rFonts w:ascii="Arial" w:hAnsi="Arial" w:cs="Arial"/>
          <w:b/>
          <w:bCs/>
          <w:sz w:val="70"/>
          <w:szCs w:val="70"/>
        </w:rPr>
        <w:t xml:space="preserve">      </w:t>
      </w:r>
      <w:r>
        <w:rPr>
          <w:rFonts w:ascii="Arial" w:hAnsi="Arial" w:cs="Arial"/>
          <w:b/>
          <w:bCs/>
          <w:sz w:val="70"/>
          <w:szCs w:val="70"/>
        </w:rPr>
        <w:t xml:space="preserve">  </w:t>
      </w:r>
      <w:r w:rsidRPr="00D52A5F">
        <w:rPr>
          <w:rFonts w:ascii="Arial" w:hAnsi="Arial" w:cs="Arial"/>
          <w:b/>
          <w:bCs/>
          <w:sz w:val="70"/>
          <w:szCs w:val="70"/>
        </w:rPr>
        <w:t>РОСРЕЗИНОТЕХНИКА</w:t>
      </w:r>
    </w:p>
    <w:p w:rsidR="00AF75D2" w:rsidRPr="00AF75D2" w:rsidRDefault="00AF75D2" w:rsidP="00AF75D2">
      <w:pPr>
        <w:kinsoku w:val="0"/>
        <w:overflowPunct w:val="0"/>
      </w:pPr>
      <w:r w:rsidRPr="00D52A5F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     </w:t>
      </w:r>
      <w:r w:rsidRPr="00D52A5F">
        <w:rPr>
          <w:sz w:val="22"/>
          <w:szCs w:val="22"/>
        </w:rPr>
        <w:t xml:space="preserve">   </w:t>
      </w:r>
      <w:r w:rsidRPr="00AF75D2">
        <w:t>АДРЕС: 143983,</w:t>
      </w:r>
      <w:r w:rsidRPr="00AF75D2">
        <w:rPr>
          <w:spacing w:val="-10"/>
        </w:rPr>
        <w:t xml:space="preserve"> </w:t>
      </w:r>
      <w:r w:rsidRPr="00AF75D2">
        <w:t>Московская</w:t>
      </w:r>
      <w:r w:rsidRPr="00AF75D2">
        <w:rPr>
          <w:spacing w:val="-9"/>
        </w:rPr>
        <w:t xml:space="preserve"> </w:t>
      </w:r>
      <w:r w:rsidRPr="00AF75D2">
        <w:t>область,</w:t>
      </w:r>
      <w:r w:rsidRPr="00AF75D2">
        <w:rPr>
          <w:spacing w:val="-9"/>
        </w:rPr>
        <w:t xml:space="preserve"> </w:t>
      </w:r>
      <w:r w:rsidRPr="00AF75D2">
        <w:t>г.</w:t>
      </w:r>
      <w:r w:rsidRPr="00AF75D2">
        <w:rPr>
          <w:spacing w:val="-9"/>
        </w:rPr>
        <w:t xml:space="preserve"> </w:t>
      </w:r>
      <w:r w:rsidRPr="00AF75D2">
        <w:t>Балашиха,</w:t>
      </w:r>
      <w:r w:rsidRPr="00AF75D2">
        <w:rPr>
          <w:spacing w:val="-10"/>
        </w:rPr>
        <w:t xml:space="preserve"> микрорайон  Керамик,  </w:t>
      </w:r>
      <w:r w:rsidRPr="00AF75D2">
        <w:t>ул.</w:t>
      </w:r>
      <w:r w:rsidRPr="00AF75D2">
        <w:rPr>
          <w:spacing w:val="-9"/>
        </w:rPr>
        <w:t xml:space="preserve"> </w:t>
      </w:r>
      <w:r w:rsidRPr="00AF75D2">
        <w:t>Керамическая 2А, офис 403.</w:t>
      </w:r>
    </w:p>
    <w:p w:rsidR="00AF75D2" w:rsidRPr="00AF75D2" w:rsidRDefault="00AF75D2" w:rsidP="00AF75D2">
      <w:pPr>
        <w:kinsoku w:val="0"/>
        <w:overflowPunct w:val="0"/>
        <w:rPr>
          <w:w w:val="99"/>
        </w:rPr>
      </w:pPr>
      <w:r w:rsidRPr="00AF75D2">
        <w:t xml:space="preserve">       </w:t>
      </w:r>
      <w:r>
        <w:t xml:space="preserve">                               </w:t>
      </w:r>
      <w:r w:rsidRPr="00AF75D2">
        <w:t>ТЕЛЕФОН:</w:t>
      </w:r>
      <w:r w:rsidRPr="00AF75D2">
        <w:rPr>
          <w:spacing w:val="-8"/>
        </w:rPr>
        <w:t xml:space="preserve"> </w:t>
      </w:r>
      <w:r w:rsidRPr="00AF75D2">
        <w:t>8 (495) 544-85-03,</w:t>
      </w:r>
      <w:r w:rsidRPr="00AF75D2">
        <w:rPr>
          <w:spacing w:val="-8"/>
        </w:rPr>
        <w:t xml:space="preserve"> ТЕЛ/ФАК</w:t>
      </w:r>
      <w:r w:rsidRPr="00AF75D2">
        <w:t xml:space="preserve">: </w:t>
      </w:r>
      <w:r w:rsidRPr="00AF75D2">
        <w:rPr>
          <w:spacing w:val="-7"/>
        </w:rPr>
        <w:t xml:space="preserve">8 (495) 664-29-78  </w:t>
      </w:r>
      <w:r w:rsidRPr="00AF75D2">
        <w:t>МОБ</w:t>
      </w:r>
      <w:proofErr w:type="gramStart"/>
      <w:r w:rsidRPr="00AF75D2">
        <w:t>.Т</w:t>
      </w:r>
      <w:proofErr w:type="gramEnd"/>
      <w:r w:rsidRPr="00AF75D2">
        <w:t>ЕЛЕФОН: 8 (925) 544-85-03</w:t>
      </w:r>
    </w:p>
    <w:p w:rsidR="00AF75D2" w:rsidRPr="00AF75D2" w:rsidRDefault="00AF75D2" w:rsidP="00AF75D2">
      <w:pPr>
        <w:kinsoku w:val="0"/>
        <w:overflowPunct w:val="0"/>
        <w:rPr>
          <w:color w:val="0000FF"/>
          <w:u w:val="single"/>
          <w:lang w:val="en-US"/>
        </w:rPr>
      </w:pPr>
      <w:r w:rsidRPr="00AF75D2">
        <w:rPr>
          <w:lang w:val="en-US"/>
        </w:rPr>
        <w:t xml:space="preserve">                  </w:t>
      </w:r>
      <w:r w:rsidRPr="00AF75D2">
        <w:rPr>
          <w:lang w:val="en-US"/>
        </w:rPr>
        <w:t xml:space="preserve">                    </w:t>
      </w:r>
      <w:r w:rsidRPr="00AF75D2">
        <w:rPr>
          <w:lang w:val="en-US"/>
        </w:rPr>
        <w:t>E-MAIL:</w:t>
      </w:r>
      <w:r w:rsidRPr="00AF75D2">
        <w:rPr>
          <w:spacing w:val="-13"/>
          <w:lang w:val="en-US"/>
        </w:rPr>
        <w:t xml:space="preserve"> </w:t>
      </w:r>
      <w:hyperlink r:id="rId7" w:history="1">
        <w:r w:rsidRPr="00AF75D2">
          <w:rPr>
            <w:color w:val="0000FF"/>
            <w:spacing w:val="-13"/>
            <w:u w:val="single"/>
            <w:lang w:val="en-US"/>
          </w:rPr>
          <w:t>rosrez@mail.ru</w:t>
        </w:r>
      </w:hyperlink>
      <w:r w:rsidRPr="00AF75D2">
        <w:rPr>
          <w:color w:val="0000FF"/>
          <w:spacing w:val="-13"/>
          <w:lang w:val="en-US"/>
        </w:rPr>
        <w:t xml:space="preserve">   </w:t>
      </w:r>
      <w:r w:rsidRPr="00AF75D2">
        <w:rPr>
          <w:color w:val="000000"/>
          <w:lang w:val="en-US"/>
        </w:rPr>
        <w:t>HTTP:</w:t>
      </w:r>
      <w:r w:rsidRPr="00AF75D2">
        <w:rPr>
          <w:color w:val="000000"/>
          <w:spacing w:val="-13"/>
          <w:lang w:val="en-US"/>
        </w:rPr>
        <w:t xml:space="preserve"> </w:t>
      </w:r>
      <w:hyperlink r:id="rId8" w:history="1">
        <w:r w:rsidRPr="00AF75D2">
          <w:rPr>
            <w:color w:val="0000FF"/>
            <w:u w:val="single"/>
            <w:lang w:val="en-US"/>
          </w:rPr>
          <w:t>www.rosrez.ru</w:t>
        </w:r>
      </w:hyperlink>
    </w:p>
    <w:p w:rsidR="00CB1DBB" w:rsidRDefault="00CB1DBB"/>
    <w:p w:rsidR="00AF75D2" w:rsidRDefault="00AF75D2"/>
    <w:tbl>
      <w:tblPr>
        <w:tblStyle w:val="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2155"/>
        <w:gridCol w:w="2155"/>
        <w:gridCol w:w="9153"/>
      </w:tblGrid>
      <w:tr w:rsidR="00AF75D2" w:rsidRPr="00AF75D2" w:rsidTr="000B4794">
        <w:trPr>
          <w:trHeight w:val="62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  <w:b/>
              </w:rPr>
            </w:pPr>
            <w:r w:rsidRPr="00AF75D2">
              <w:rPr>
                <w:rFonts w:eastAsiaTheme="minorEastAsia"/>
                <w:b/>
              </w:rPr>
              <w:t xml:space="preserve">ТЕХНИЧЕСКИЕ ПОКАЗАТЕЛИ УНИВЕРСАЛЬНОГО МЕХАНИЧЕСКОГО СОЕДИНЕНИЕ </w:t>
            </w:r>
            <w:r w:rsidRPr="00AF75D2">
              <w:rPr>
                <w:rFonts w:eastAsiaTheme="minorEastAsia"/>
                <w:b/>
                <w:lang w:val="en-US"/>
              </w:rPr>
              <w:t>SMT</w:t>
            </w:r>
            <w:r w:rsidRPr="00AF75D2">
              <w:rPr>
                <w:rFonts w:eastAsiaTheme="minorEastAsia"/>
                <w:b/>
              </w:rPr>
              <w:t xml:space="preserve"> ГЕРМАНИЯ SCHNEIDER MINING TECHNOLOGY </w:t>
            </w:r>
            <w:proofErr w:type="spellStart"/>
            <w:r w:rsidRPr="00AF75D2">
              <w:rPr>
                <w:rFonts w:eastAsiaTheme="minorEastAsia"/>
                <w:b/>
              </w:rPr>
              <w:t>GmbH</w:t>
            </w:r>
            <w:proofErr w:type="spellEnd"/>
          </w:p>
        </w:tc>
      </w:tr>
      <w:tr w:rsidR="00AF75D2" w:rsidRPr="00AF75D2" w:rsidTr="00AF75D2">
        <w:tc>
          <w:tcPr>
            <w:tcW w:w="689" w:type="pct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  <w:b/>
              </w:rPr>
            </w:pPr>
            <w:r w:rsidRPr="00AF75D2">
              <w:rPr>
                <w:rFonts w:eastAsiaTheme="minorEastAsia"/>
                <w:b/>
              </w:rPr>
              <w:t>Тип соединения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  <w:b/>
              </w:rPr>
            </w:pPr>
            <w:r w:rsidRPr="00AF75D2">
              <w:rPr>
                <w:rFonts w:eastAsiaTheme="minorEastAsia"/>
                <w:b/>
              </w:rPr>
              <w:t>Предел прочности на разрыв</w:t>
            </w:r>
          </w:p>
        </w:tc>
        <w:tc>
          <w:tcPr>
            <w:tcW w:w="690" w:type="pct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  <w:b/>
              </w:rPr>
            </w:pPr>
            <w:r w:rsidRPr="00AF75D2">
              <w:rPr>
                <w:rFonts w:eastAsiaTheme="minorEastAsia"/>
                <w:b/>
              </w:rPr>
              <w:t>Толщина ленты</w:t>
            </w:r>
          </w:p>
        </w:tc>
        <w:tc>
          <w:tcPr>
            <w:tcW w:w="2931" w:type="pct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  <w:b/>
              </w:rPr>
            </w:pPr>
            <w:r w:rsidRPr="00AF75D2">
              <w:rPr>
                <w:rFonts w:eastAsiaTheme="minorEastAsia"/>
                <w:b/>
              </w:rPr>
              <w:t>Комплектация механических соединений типа SMT</w:t>
            </w:r>
          </w:p>
        </w:tc>
      </w:tr>
      <w:tr w:rsidR="00AF75D2" w:rsidRPr="00AF75D2" w:rsidTr="00AF75D2">
        <w:tc>
          <w:tcPr>
            <w:tcW w:w="689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Механическое соединение для конвейерных лент типа SMT-VINT</w:t>
            </w: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до 3000 кН/м</w:t>
            </w: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от 8 мм</w:t>
            </w:r>
          </w:p>
        </w:tc>
        <w:tc>
          <w:tcPr>
            <w:tcW w:w="2931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 xml:space="preserve">Соединение SMT VINT комплектуется специальным винтом SMT-М6 длинной 50мм, шестигранной шайбой </w:t>
            </w:r>
            <w:proofErr w:type="spellStart"/>
            <w:r w:rsidRPr="00AF75D2">
              <w:rPr>
                <w:rFonts w:eastAsiaTheme="minorEastAsia"/>
              </w:rPr>
              <w:t>SMT</w:t>
            </w:r>
            <w:proofErr w:type="gramStart"/>
            <w:r w:rsidRPr="00AF75D2">
              <w:rPr>
                <w:rFonts w:eastAsiaTheme="minorEastAsia"/>
              </w:rPr>
              <w:t>и</w:t>
            </w:r>
            <w:proofErr w:type="spellEnd"/>
            <w:proofErr w:type="gramEnd"/>
            <w:r w:rsidRPr="00AF75D2">
              <w:rPr>
                <w:rFonts w:eastAsiaTheme="minorEastAsia"/>
              </w:rPr>
              <w:t xml:space="preserve"> гайкойSMTS22 с толщиной 2,5мм,</w:t>
            </w:r>
          </w:p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Комплект соединений упаковывается в картонную тару по 200шт, каждый элемент упаковывается отдельно</w:t>
            </w:r>
          </w:p>
        </w:tc>
      </w:tr>
      <w:tr w:rsidR="00AF75D2" w:rsidRPr="00AF75D2" w:rsidTr="00AF75D2">
        <w:tc>
          <w:tcPr>
            <w:tcW w:w="689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Механическое соединение для конвейерных лент типа SMT-KROT</w:t>
            </w:r>
          </w:p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до 3000 кН/м</w:t>
            </w: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от 8 мм</w:t>
            </w:r>
          </w:p>
        </w:tc>
        <w:tc>
          <w:tcPr>
            <w:tcW w:w="2931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Соединение SMT-KROT комплектуется специальным винтом SMT-М6 длинной 59мм</w:t>
            </w:r>
            <w:proofErr w:type="gramStart"/>
            <w:r w:rsidRPr="00AF75D2">
              <w:rPr>
                <w:rFonts w:eastAsiaTheme="minorEastAsia"/>
              </w:rPr>
              <w:t>,с</w:t>
            </w:r>
            <w:proofErr w:type="gramEnd"/>
            <w:r w:rsidRPr="00AF75D2">
              <w:rPr>
                <w:rFonts w:eastAsiaTheme="minorEastAsia"/>
              </w:rPr>
              <w:t xml:space="preserve"> «буравчиком» или винтом с окончанием в виде метрической резьбы позволяющим производить установку без предварительной сверловки ленточного полотна и соответственно без нарушения его тканевого корда, а так же шестигранной шайбой SMT имеющей зенковку под винт и гайкой шестигранной SMT-S22 мм с толщиной 2,5 мм выполненную методом холодной высадки.</w:t>
            </w:r>
          </w:p>
        </w:tc>
      </w:tr>
      <w:tr w:rsidR="00AF75D2" w:rsidRPr="00AF75D2" w:rsidTr="00AF75D2">
        <w:tc>
          <w:tcPr>
            <w:tcW w:w="689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Универсальное механическое соединения для конвейерных лент типа SMT-TIGER</w:t>
            </w: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до 3500 кН/м</w:t>
            </w:r>
          </w:p>
        </w:tc>
        <w:tc>
          <w:tcPr>
            <w:tcW w:w="690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от 8 мм</w:t>
            </w:r>
          </w:p>
        </w:tc>
        <w:tc>
          <w:tcPr>
            <w:tcW w:w="2931" w:type="pct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>Соединение  SMT-TIGER комплектуется специальным винтом SMT-М6 длинной 59мм</w:t>
            </w:r>
            <w:proofErr w:type="gramStart"/>
            <w:r w:rsidRPr="00AF75D2">
              <w:rPr>
                <w:rFonts w:eastAsiaTheme="minorEastAsia"/>
              </w:rPr>
              <w:t>,с</w:t>
            </w:r>
            <w:proofErr w:type="gramEnd"/>
            <w:r w:rsidRPr="00AF75D2">
              <w:rPr>
                <w:rFonts w:eastAsiaTheme="minorEastAsia"/>
              </w:rPr>
              <w:t xml:space="preserve"> «буравчиком» или винтом с окончанием в виде метрической резьбы позволяющим производить установку без предварительной сверловки ленточного полотна и соответственно без нарушения его тканевого корда, а так же шестигранной шайбой SMT имеющей три зубца и гайкой шестигранной SMT-S22 мм имеющей три зубца с толщиной 2,5 мм выполненную методом холодной высадки.</w:t>
            </w:r>
          </w:p>
        </w:tc>
      </w:tr>
      <w:tr w:rsidR="00AF75D2" w:rsidRPr="00AF75D2" w:rsidTr="000B4794"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AF75D2" w:rsidRPr="00AF75D2" w:rsidRDefault="00AF75D2" w:rsidP="00AF75D2">
            <w:pPr>
              <w:jc w:val="center"/>
              <w:rPr>
                <w:rFonts w:eastAsiaTheme="minorEastAsia"/>
              </w:rPr>
            </w:pPr>
            <w:r w:rsidRPr="00AF75D2">
              <w:rPr>
                <w:rFonts w:eastAsiaTheme="minorEastAsia"/>
              </w:rPr>
              <w:t xml:space="preserve">По отдельному заказу может быть произведена поставка специального инструмента и расходные материалы SMT для установки стыков на конвейерные ленты (шаблон, профессиональный </w:t>
            </w:r>
            <w:proofErr w:type="spellStart"/>
            <w:r w:rsidRPr="00AF75D2">
              <w:rPr>
                <w:rFonts w:eastAsiaTheme="minorEastAsia"/>
              </w:rPr>
              <w:t>шуруповерт</w:t>
            </w:r>
            <w:proofErr w:type="spellEnd"/>
            <w:r w:rsidRPr="00AF75D2">
              <w:rPr>
                <w:rFonts w:eastAsiaTheme="minorEastAsia"/>
              </w:rPr>
              <w:t>, маркер, нож и т.д.)</w:t>
            </w:r>
          </w:p>
        </w:tc>
      </w:tr>
    </w:tbl>
    <w:p w:rsidR="00AF75D2" w:rsidRDefault="00AF75D2"/>
    <w:p w:rsidR="004F6B54" w:rsidRPr="004F6B54" w:rsidRDefault="004F6B54" w:rsidP="004F6B54">
      <w:pPr>
        <w:pStyle w:val="a6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rPr>
          <w:rFonts w:eastAsiaTheme="minorHAnsi"/>
          <w:b/>
          <w:lang w:eastAsia="en-US"/>
        </w:rPr>
      </w:pPr>
      <w:r w:rsidRPr="004F6B54">
        <w:rPr>
          <w:rFonts w:eastAsiaTheme="minorHAnsi"/>
          <w:b/>
          <w:lang w:eastAsia="en-US"/>
        </w:rPr>
        <w:t xml:space="preserve">Соединение для конвейерных лент </w:t>
      </w:r>
      <w:bookmarkStart w:id="2" w:name="_Hlk527451180"/>
      <w:r w:rsidRPr="004F6B54">
        <w:rPr>
          <w:rFonts w:eastAsiaTheme="minorHAnsi"/>
          <w:b/>
          <w:lang w:val="en-US" w:eastAsia="en-US"/>
        </w:rPr>
        <w:t>GX</w:t>
      </w:r>
      <w:r w:rsidRPr="004F6B54">
        <w:rPr>
          <w:rFonts w:eastAsiaTheme="minorHAnsi"/>
          <w:b/>
          <w:lang w:eastAsia="en-US"/>
        </w:rPr>
        <w:t>-</w:t>
      </w:r>
      <w:r w:rsidRPr="004F6B54">
        <w:rPr>
          <w:rFonts w:eastAsiaTheme="minorHAnsi"/>
          <w:b/>
          <w:lang w:val="en-US" w:eastAsia="en-US"/>
        </w:rPr>
        <w:t>AGRO</w:t>
      </w:r>
      <w:bookmarkEnd w:id="2"/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contextualSpacing/>
        <w:rPr>
          <w:rFonts w:eastAsiaTheme="minorHAnsi"/>
          <w:b/>
          <w:lang w:eastAsia="en-US"/>
        </w:rPr>
      </w:pP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lang w:eastAsia="en-US"/>
        </w:rPr>
        <w:t xml:space="preserve">Соединение типа </w:t>
      </w:r>
      <w:r w:rsidRPr="004F6B54">
        <w:rPr>
          <w:rFonts w:eastAsiaTheme="minorHAnsi"/>
          <w:b/>
          <w:lang w:val="en-US" w:eastAsia="en-US"/>
        </w:rPr>
        <w:t>GX</w:t>
      </w:r>
      <w:r w:rsidRPr="004F6B54">
        <w:rPr>
          <w:rFonts w:eastAsiaTheme="minorHAnsi"/>
          <w:b/>
          <w:lang w:eastAsia="en-US"/>
        </w:rPr>
        <w:t>-</w:t>
      </w:r>
      <w:r w:rsidRPr="004F6B54">
        <w:rPr>
          <w:rFonts w:eastAsiaTheme="minorHAnsi"/>
          <w:b/>
          <w:lang w:val="en-US" w:eastAsia="en-US"/>
        </w:rPr>
        <w:t>AGRO</w:t>
      </w:r>
      <w:r w:rsidRPr="004F6B54">
        <w:rPr>
          <w:rFonts w:eastAsiaTheme="minorHAnsi"/>
          <w:b/>
          <w:lang w:eastAsia="en-US"/>
        </w:rPr>
        <w:t xml:space="preserve"> </w:t>
      </w:r>
      <w:r w:rsidRPr="004F6B54">
        <w:rPr>
          <w:rFonts w:eastAsiaTheme="minorHAnsi"/>
          <w:lang w:eastAsia="en-US"/>
        </w:rPr>
        <w:t xml:space="preserve">предназначено для использования в качестве соединителя резинотканевых конвейерных лент для облегченного и среднего режима работы, используемые для упаковки и транспортировки багажа, упакованных товаров, пищевых продуктов и продуктов </w:t>
      </w:r>
      <w:r w:rsidRPr="004F6B54">
        <w:rPr>
          <w:rFonts w:eastAsiaTheme="minorHAnsi"/>
          <w:lang w:eastAsia="en-US"/>
        </w:rPr>
        <w:lastRenderedPageBreak/>
        <w:t xml:space="preserve">сельскохозяйственной отрасли. Соединение является эффективным способом стыковки лент с усилием разрыва до 400 кН/м. Изготавливается из высокопрочной легированной стали, что даёт ему хорошие механические характеристики. </w:t>
      </w: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</w:p>
    <w:tbl>
      <w:tblPr>
        <w:tblStyle w:val="a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4F6B54" w:rsidRPr="004F6B54" w:rsidTr="00693410">
        <w:trPr>
          <w:trHeight w:val="520"/>
        </w:trPr>
        <w:tc>
          <w:tcPr>
            <w:tcW w:w="1250" w:type="pct"/>
            <w:shd w:val="clear" w:color="auto" w:fill="F2F2F2" w:themeFill="background1" w:themeFillShade="F2"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F6B54">
              <w:rPr>
                <w:rFonts w:eastAsiaTheme="minorHAnsi"/>
                <w:b/>
                <w:bCs/>
                <w:lang w:eastAsia="en-US"/>
              </w:rPr>
              <w:t>Размер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F6B54">
              <w:rPr>
                <w:rFonts w:eastAsiaTheme="minorHAnsi"/>
                <w:b/>
                <w:bCs/>
                <w:lang w:eastAsia="en-US"/>
              </w:rPr>
              <w:t xml:space="preserve">Разрывное усилие ленты, </w:t>
            </w:r>
            <w:proofErr w:type="spellStart"/>
            <w:r w:rsidRPr="004F6B54">
              <w:rPr>
                <w:rFonts w:eastAsiaTheme="minorHAnsi"/>
                <w:b/>
                <w:bCs/>
                <w:lang w:eastAsia="en-US"/>
              </w:rPr>
              <w:t>к</w:t>
            </w:r>
            <w:proofErr w:type="gramStart"/>
            <w:r w:rsidRPr="004F6B54">
              <w:rPr>
                <w:rFonts w:eastAsiaTheme="minorHAnsi"/>
                <w:b/>
                <w:bCs/>
                <w:lang w:eastAsia="en-US"/>
              </w:rPr>
              <w:t>H</w:t>
            </w:r>
            <w:proofErr w:type="spellEnd"/>
            <w:proofErr w:type="gramEnd"/>
            <w:r w:rsidRPr="004F6B54">
              <w:rPr>
                <w:rFonts w:eastAsiaTheme="minorHAnsi"/>
                <w:b/>
                <w:bCs/>
                <w:lang w:eastAsia="en-US"/>
              </w:rPr>
              <w:t>/м</w:t>
            </w:r>
          </w:p>
        </w:tc>
        <w:tc>
          <w:tcPr>
            <w:tcW w:w="1250" w:type="pct"/>
            <w:shd w:val="clear" w:color="auto" w:fill="F2F2F2" w:themeFill="background1" w:themeFillShade="F2"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F6B54">
              <w:rPr>
                <w:rFonts w:eastAsiaTheme="minorHAnsi"/>
                <w:b/>
                <w:bCs/>
                <w:lang w:eastAsia="en-US"/>
              </w:rPr>
              <w:t xml:space="preserve">Толщина ленты, </w:t>
            </w:r>
            <w:proofErr w:type="gramStart"/>
            <w:r w:rsidRPr="004F6B54">
              <w:rPr>
                <w:rFonts w:eastAsiaTheme="minorHAnsi"/>
                <w:b/>
                <w:bCs/>
                <w:lang w:eastAsia="en-US"/>
              </w:rPr>
              <w:t>мм</w:t>
            </w:r>
            <w:proofErr w:type="gramEnd"/>
          </w:p>
        </w:tc>
        <w:tc>
          <w:tcPr>
            <w:tcW w:w="1250" w:type="pct"/>
            <w:shd w:val="clear" w:color="auto" w:fill="F2F2F2" w:themeFill="background1" w:themeFillShade="F2"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contextualSpacing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4F6B54">
              <w:rPr>
                <w:rFonts w:eastAsiaTheme="minorHAnsi"/>
                <w:b/>
                <w:bCs/>
                <w:lang w:eastAsia="en-US"/>
              </w:rPr>
              <w:t xml:space="preserve">Минимальный диаметр приводного барабана, </w:t>
            </w:r>
            <w:proofErr w:type="gramStart"/>
            <w:r w:rsidRPr="004F6B54">
              <w:rPr>
                <w:rFonts w:eastAsiaTheme="minorHAnsi"/>
                <w:b/>
                <w:bCs/>
                <w:lang w:eastAsia="en-US"/>
              </w:rPr>
              <w:t>мм</w:t>
            </w:r>
            <w:proofErr w:type="gramEnd"/>
          </w:p>
        </w:tc>
      </w:tr>
      <w:tr w:rsidR="004F6B54" w:rsidRPr="004F6B54" w:rsidTr="004F6B54">
        <w:trPr>
          <w:trHeight w:val="290"/>
        </w:trPr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№01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180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1,5-3,2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50</w:t>
            </w:r>
          </w:p>
        </w:tc>
      </w:tr>
      <w:tr w:rsidR="004F6B54" w:rsidRPr="004F6B54" w:rsidTr="004F6B54">
        <w:trPr>
          <w:trHeight w:val="290"/>
        </w:trPr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№02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300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3,3-5,4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75</w:t>
            </w:r>
          </w:p>
        </w:tc>
      </w:tr>
      <w:tr w:rsidR="004F6B54" w:rsidRPr="004F6B54" w:rsidTr="004F6B54">
        <w:trPr>
          <w:trHeight w:val="290"/>
        </w:trPr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№03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400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4,5-6,6</w:t>
            </w:r>
          </w:p>
        </w:tc>
        <w:tc>
          <w:tcPr>
            <w:tcW w:w="1250" w:type="pct"/>
            <w:noWrap/>
            <w:vAlign w:val="center"/>
            <w:hideMark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lang w:eastAsia="en-US"/>
              </w:rPr>
              <w:t>100</w:t>
            </w:r>
          </w:p>
        </w:tc>
      </w:tr>
      <w:tr w:rsidR="004F6B54" w:rsidRPr="004F6B54" w:rsidTr="004F6B54">
        <w:trPr>
          <w:trHeight w:val="2969"/>
        </w:trPr>
        <w:tc>
          <w:tcPr>
            <w:tcW w:w="1250" w:type="pct"/>
            <w:noWrap/>
            <w:vAlign w:val="center"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noProof/>
              </w:rPr>
              <w:drawing>
                <wp:anchor distT="0" distB="0" distL="114300" distR="114300" simplePos="0" relativeHeight="251664384" behindDoc="0" locked="0" layoutInCell="1" allowOverlap="1" wp14:anchorId="1177FDC6" wp14:editId="434F5BE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-2170430</wp:posOffset>
                  </wp:positionV>
                  <wp:extent cx="2332355" cy="1762125"/>
                  <wp:effectExtent l="0" t="0" r="0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2355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noWrap/>
            <w:vAlign w:val="center"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5684EDD4" wp14:editId="44A4BA1A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-1610995</wp:posOffset>
                  </wp:positionV>
                  <wp:extent cx="2305050" cy="1638300"/>
                  <wp:effectExtent l="0" t="0" r="0" b="0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noWrap/>
            <w:vAlign w:val="center"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noProof/>
              </w:rPr>
              <w:drawing>
                <wp:anchor distT="0" distB="0" distL="114300" distR="114300" simplePos="0" relativeHeight="251662336" behindDoc="0" locked="0" layoutInCell="1" allowOverlap="1" wp14:anchorId="7E845A59" wp14:editId="368AFF8B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-1739900</wp:posOffset>
                  </wp:positionV>
                  <wp:extent cx="2305050" cy="1727200"/>
                  <wp:effectExtent l="0" t="0" r="0" b="635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0" cy="172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  <w:noWrap/>
            <w:vAlign w:val="center"/>
          </w:tcPr>
          <w:p w:rsidR="004F6B54" w:rsidRPr="004F6B54" w:rsidRDefault="004F6B54" w:rsidP="004F6B54">
            <w:pPr>
              <w:widowControl/>
              <w:tabs>
                <w:tab w:val="left" w:pos="142"/>
              </w:tabs>
              <w:autoSpaceDE/>
              <w:autoSpaceDN/>
              <w:adjustRightInd/>
              <w:jc w:val="center"/>
              <w:rPr>
                <w:rFonts w:eastAsiaTheme="minorHAnsi"/>
                <w:lang w:eastAsia="en-US"/>
              </w:rPr>
            </w:pPr>
            <w:r w:rsidRPr="004F6B54">
              <w:rPr>
                <w:rFonts w:eastAsiaTheme="minorHAnsi"/>
                <w:noProof/>
              </w:rPr>
              <w:drawing>
                <wp:anchor distT="0" distB="0" distL="114300" distR="114300" simplePos="0" relativeHeight="251661312" behindDoc="0" locked="0" layoutInCell="1" allowOverlap="1" wp14:anchorId="0D7A510A" wp14:editId="2883A26F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-1706245</wp:posOffset>
                  </wp:positionV>
                  <wp:extent cx="2313305" cy="1714500"/>
                  <wp:effectExtent l="0" t="0" r="0" b="0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3305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contextualSpacing/>
        <w:rPr>
          <w:rFonts w:eastAsiaTheme="minorHAnsi"/>
          <w:b/>
          <w:lang w:eastAsia="en-US"/>
        </w:rPr>
      </w:pPr>
    </w:p>
    <w:p w:rsidR="004F6B54" w:rsidRPr="004F6B54" w:rsidRDefault="004F6B54" w:rsidP="004F6B54">
      <w:pPr>
        <w:pStyle w:val="a6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rPr>
          <w:rFonts w:eastAsiaTheme="minorHAnsi"/>
          <w:b/>
          <w:lang w:eastAsia="en-US"/>
        </w:rPr>
      </w:pPr>
      <w:r w:rsidRPr="004F6B54">
        <w:rPr>
          <w:rFonts w:eastAsiaTheme="minorHAnsi"/>
          <w:b/>
          <w:lang w:eastAsia="en-US"/>
        </w:rPr>
        <w:t xml:space="preserve">Комплектация </w:t>
      </w:r>
      <w:r w:rsidRPr="004F6B54">
        <w:rPr>
          <w:rFonts w:eastAsiaTheme="minorHAnsi"/>
          <w:b/>
          <w:lang w:eastAsia="en-US"/>
        </w:rPr>
        <w:t xml:space="preserve"> с</w:t>
      </w:r>
      <w:r w:rsidRPr="004F6B54">
        <w:rPr>
          <w:rFonts w:eastAsiaTheme="minorHAnsi"/>
          <w:b/>
          <w:lang w:eastAsia="en-US"/>
        </w:rPr>
        <w:t xml:space="preserve">оединение типа </w:t>
      </w:r>
      <w:r w:rsidRPr="004F6B54">
        <w:rPr>
          <w:rFonts w:eastAsiaTheme="minorHAnsi"/>
          <w:b/>
          <w:lang w:val="en-US" w:eastAsia="en-US"/>
        </w:rPr>
        <w:t>GX</w:t>
      </w:r>
      <w:r w:rsidRPr="004F6B54">
        <w:rPr>
          <w:rFonts w:eastAsiaTheme="minorHAnsi"/>
          <w:b/>
          <w:lang w:eastAsia="en-US"/>
        </w:rPr>
        <w:t>-</w:t>
      </w:r>
      <w:r w:rsidRPr="004F6B54">
        <w:rPr>
          <w:rFonts w:eastAsiaTheme="minorHAnsi"/>
          <w:b/>
          <w:lang w:val="en-US" w:eastAsia="en-US"/>
        </w:rPr>
        <w:t>AGRO</w:t>
      </w:r>
      <w:r w:rsidRPr="004F6B54">
        <w:rPr>
          <w:rFonts w:eastAsiaTheme="minorHAnsi"/>
          <w:b/>
          <w:lang w:eastAsia="en-US"/>
        </w:rPr>
        <w:t xml:space="preserve">  </w:t>
      </w: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contextualSpacing/>
        <w:rPr>
          <w:rFonts w:eastAsiaTheme="minorHAnsi"/>
          <w:lang w:eastAsia="en-US"/>
        </w:rPr>
      </w:pP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 xml:space="preserve">Отдельным заказом может быть произведена поставка специального инструмента для установки стыков (машинка для установки, шаблон, профессиональный </w:t>
      </w:r>
      <w:proofErr w:type="spellStart"/>
      <w:r w:rsidRPr="004F6B54">
        <w:rPr>
          <w:rFonts w:eastAsiaTheme="minorHAnsi"/>
          <w:color w:val="000000" w:themeColor="text1"/>
          <w:lang w:eastAsia="en-US"/>
        </w:rPr>
        <w:t>шуруповерт</w:t>
      </w:r>
      <w:proofErr w:type="spellEnd"/>
      <w:r w:rsidRPr="004F6B54">
        <w:rPr>
          <w:rFonts w:eastAsiaTheme="minorHAnsi"/>
          <w:color w:val="000000" w:themeColor="text1"/>
          <w:lang w:eastAsia="en-US"/>
        </w:rPr>
        <w:t xml:space="preserve">, маркер, нож и </w:t>
      </w:r>
      <w:proofErr w:type="spellStart"/>
      <w:r w:rsidRPr="004F6B54">
        <w:rPr>
          <w:rFonts w:eastAsiaTheme="minorHAnsi"/>
          <w:color w:val="000000" w:themeColor="text1"/>
          <w:lang w:eastAsia="en-US"/>
        </w:rPr>
        <w:t>т.д</w:t>
      </w:r>
      <w:proofErr w:type="spellEnd"/>
      <w:r w:rsidRPr="004F6B54">
        <w:rPr>
          <w:rFonts w:eastAsiaTheme="minorHAnsi"/>
          <w:color w:val="000000" w:themeColor="text1"/>
          <w:lang w:eastAsia="en-US"/>
        </w:rPr>
        <w:t>).</w:t>
      </w:r>
    </w:p>
    <w:p w:rsidR="004F6B54" w:rsidRPr="004F6B54" w:rsidRDefault="004F6B54" w:rsidP="004F6B54">
      <w:pPr>
        <w:pStyle w:val="a6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rPr>
          <w:rFonts w:eastAsiaTheme="minorHAnsi"/>
          <w:b/>
          <w:color w:val="000000" w:themeColor="text1"/>
          <w:lang w:eastAsia="en-US"/>
        </w:rPr>
      </w:pPr>
      <w:r w:rsidRPr="004F6B54">
        <w:rPr>
          <w:rFonts w:eastAsiaTheme="minorHAnsi"/>
          <w:b/>
          <w:color w:val="000000" w:themeColor="text1"/>
          <w:lang w:eastAsia="en-US"/>
        </w:rPr>
        <w:t>Маркировка и упаковка</w:t>
      </w:r>
    </w:p>
    <w:p w:rsidR="004F6B54" w:rsidRPr="004F6B54" w:rsidRDefault="004F6B54" w:rsidP="004F6B54">
      <w:pPr>
        <w:pStyle w:val="a6"/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>Комплект соединений  упаковывается в картонную тару.</w:t>
      </w:r>
    </w:p>
    <w:p w:rsidR="004F6B54" w:rsidRPr="004F6B54" w:rsidRDefault="004F6B54" w:rsidP="004F6B54">
      <w:pPr>
        <w:pStyle w:val="a6"/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>При длительном хранении не требует дополнительной антикоррозионной обработки.</w:t>
      </w:r>
    </w:p>
    <w:p w:rsidR="004F6B54" w:rsidRPr="004F6B54" w:rsidRDefault="004F6B54" w:rsidP="004F6B54">
      <w:pPr>
        <w:pStyle w:val="a6"/>
        <w:widowControl/>
        <w:numPr>
          <w:ilvl w:val="0"/>
          <w:numId w:val="7"/>
        </w:numPr>
        <w:tabs>
          <w:tab w:val="left" w:pos="142"/>
        </w:tabs>
        <w:autoSpaceDE/>
        <w:autoSpaceDN/>
        <w:adjustRightInd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>Монтаж механических соединений</w:t>
      </w: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ind w:left="360"/>
        <w:rPr>
          <w:rFonts w:eastAsiaTheme="minorHAnsi"/>
          <w:color w:val="000000" w:themeColor="text1"/>
          <w:lang w:eastAsia="en-US"/>
        </w:rPr>
      </w:pP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ind w:left="360"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 xml:space="preserve">С помощью машинки для установки или молотка скобы соединителя </w:t>
      </w:r>
      <w:proofErr w:type="gramStart"/>
      <w:r w:rsidRPr="004F6B54">
        <w:rPr>
          <w:rFonts w:eastAsiaTheme="minorHAnsi"/>
          <w:color w:val="000000" w:themeColor="text1"/>
          <w:lang w:eastAsia="en-US"/>
        </w:rPr>
        <w:t>проникают между</w:t>
      </w:r>
      <w:r w:rsidRPr="004F6B54">
        <w:t xml:space="preserve"> </w:t>
      </w:r>
      <w:r w:rsidRPr="004F6B54">
        <w:rPr>
          <w:rFonts w:eastAsiaTheme="minorHAnsi"/>
          <w:color w:val="000000" w:themeColor="text1"/>
          <w:lang w:eastAsia="en-US"/>
        </w:rPr>
        <w:t>волокнами ленты не повреждая</w:t>
      </w:r>
      <w:proofErr w:type="gramEnd"/>
      <w:r w:rsidRPr="004F6B54">
        <w:rPr>
          <w:rFonts w:eastAsiaTheme="minorHAnsi"/>
          <w:color w:val="000000" w:themeColor="text1"/>
          <w:lang w:eastAsia="en-US"/>
        </w:rPr>
        <w:t xml:space="preserve"> их, после чег</w:t>
      </w:r>
      <w:r w:rsidRPr="004F6B54">
        <w:rPr>
          <w:rFonts w:eastAsiaTheme="minorHAnsi"/>
          <w:color w:val="000000" w:themeColor="text1"/>
          <w:lang w:eastAsia="en-US"/>
        </w:rPr>
        <w:t xml:space="preserve">о крестообразно заклепываются.  </w:t>
      </w:r>
      <w:r w:rsidRPr="004F6B54">
        <w:rPr>
          <w:rFonts w:eastAsiaTheme="minorHAnsi"/>
          <w:color w:val="000000" w:themeColor="text1"/>
          <w:lang w:eastAsia="en-US"/>
        </w:rPr>
        <w:t>Данный способ предотвращает их</w:t>
      </w:r>
      <w:r w:rsidRPr="004F6B54">
        <w:t xml:space="preserve"> </w:t>
      </w:r>
      <w:r w:rsidRPr="004F6B54">
        <w:rPr>
          <w:rFonts w:eastAsiaTheme="minorHAnsi"/>
          <w:color w:val="000000" w:themeColor="text1"/>
          <w:lang w:eastAsia="en-US"/>
        </w:rPr>
        <w:t>расклепывания при нагруженной ленте.</w:t>
      </w:r>
    </w:p>
    <w:p w:rsidR="004F6B54" w:rsidRPr="004F6B54" w:rsidRDefault="004F6B54" w:rsidP="004F6B54">
      <w:pPr>
        <w:widowControl/>
        <w:tabs>
          <w:tab w:val="left" w:pos="142"/>
        </w:tabs>
        <w:autoSpaceDE/>
        <w:autoSpaceDN/>
        <w:adjustRightInd/>
        <w:ind w:left="360"/>
        <w:rPr>
          <w:rFonts w:eastAsiaTheme="minorHAnsi"/>
          <w:color w:val="000000" w:themeColor="text1"/>
          <w:lang w:eastAsia="en-US"/>
        </w:rPr>
      </w:pPr>
      <w:r w:rsidRPr="004F6B54">
        <w:rPr>
          <w:rFonts w:eastAsiaTheme="minorHAnsi"/>
          <w:color w:val="000000" w:themeColor="text1"/>
          <w:lang w:eastAsia="en-US"/>
        </w:rPr>
        <w:t>Шарнирные соединения позволяют в быстром режиме укоротить или удлинить конвейер. При</w:t>
      </w:r>
      <w:r w:rsidRPr="004F6B54">
        <w:rPr>
          <w:rFonts w:eastAsiaTheme="minorHAnsi"/>
          <w:color w:val="000000" w:themeColor="text1"/>
          <w:lang w:eastAsia="en-US"/>
        </w:rPr>
        <w:t xml:space="preserve"> </w:t>
      </w:r>
      <w:r w:rsidRPr="004F6B54">
        <w:rPr>
          <w:rFonts w:eastAsiaTheme="minorHAnsi"/>
          <w:lang w:eastAsia="en-US"/>
        </w:rPr>
        <w:t>необходимости соединить ленты разной толщины.</w:t>
      </w:r>
    </w:p>
    <w:p w:rsidR="004F6B54" w:rsidRDefault="004F6B54" w:rsidP="004F6B54">
      <w:pPr>
        <w:widowControl/>
        <w:tabs>
          <w:tab w:val="left" w:pos="142"/>
        </w:tabs>
        <w:autoSpaceDE/>
        <w:autoSpaceDN/>
        <w:adjustRightInd/>
        <w:contextualSpacing/>
        <w:rPr>
          <w:rFonts w:eastAsiaTheme="minorHAnsi"/>
          <w:lang w:eastAsia="en-US"/>
        </w:rPr>
      </w:pPr>
    </w:p>
    <w:p w:rsidR="004F6B54" w:rsidRPr="004F6B54" w:rsidRDefault="004F6B54" w:rsidP="004F6B54">
      <w:pPr>
        <w:pStyle w:val="a6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b/>
          <w:lang w:eastAsia="en-US"/>
        </w:rPr>
        <w:t>Хранение и транспортировка</w:t>
      </w:r>
    </w:p>
    <w:p w:rsidR="004F6B54" w:rsidRPr="004F6B54" w:rsidRDefault="004F6B54" w:rsidP="004F6B54">
      <w:pPr>
        <w:pStyle w:val="a6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lang w:eastAsia="en-US"/>
        </w:rPr>
        <w:t xml:space="preserve">Доставка механических соединений может </w:t>
      </w:r>
      <w:proofErr w:type="gramStart"/>
      <w:r w:rsidRPr="004F6B54">
        <w:rPr>
          <w:rFonts w:eastAsiaTheme="minorHAnsi"/>
          <w:lang w:eastAsia="en-US"/>
        </w:rPr>
        <w:t>производится</w:t>
      </w:r>
      <w:proofErr w:type="gramEnd"/>
      <w:r w:rsidRPr="004F6B54">
        <w:rPr>
          <w:rFonts w:eastAsiaTheme="minorHAnsi"/>
          <w:lang w:eastAsia="en-US"/>
        </w:rPr>
        <w:t xml:space="preserve"> любым видом транспорта. </w:t>
      </w:r>
    </w:p>
    <w:p w:rsidR="004F6B54" w:rsidRDefault="004F6B54" w:rsidP="004F6B54">
      <w:pPr>
        <w:pStyle w:val="a6"/>
        <w:widowControl/>
        <w:numPr>
          <w:ilvl w:val="0"/>
          <w:numId w:val="9"/>
        </w:numPr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lang w:eastAsia="en-US"/>
        </w:rPr>
        <w:t>Соединения поставляются комплектно в упаковках.</w:t>
      </w:r>
    </w:p>
    <w:p w:rsidR="004F6B54" w:rsidRPr="004F6B54" w:rsidRDefault="004F6B54" w:rsidP="004F6B54">
      <w:pPr>
        <w:pStyle w:val="a6"/>
        <w:widowControl/>
        <w:numPr>
          <w:ilvl w:val="0"/>
          <w:numId w:val="6"/>
        </w:numPr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b/>
          <w:lang w:eastAsia="en-US"/>
        </w:rPr>
        <w:t>Гарантии</w:t>
      </w:r>
    </w:p>
    <w:p w:rsidR="004F6B54" w:rsidRPr="004F6B54" w:rsidRDefault="004F6B54" w:rsidP="004F6B54">
      <w:pPr>
        <w:pStyle w:val="a6"/>
        <w:widowControl/>
        <w:numPr>
          <w:ilvl w:val="0"/>
          <w:numId w:val="10"/>
        </w:numPr>
        <w:tabs>
          <w:tab w:val="left" w:pos="142"/>
        </w:tabs>
        <w:autoSpaceDE/>
        <w:autoSpaceDN/>
        <w:adjustRightInd/>
        <w:rPr>
          <w:rFonts w:eastAsiaTheme="minorHAnsi"/>
          <w:b/>
          <w:lang w:eastAsia="en-US"/>
        </w:rPr>
      </w:pPr>
      <w:r w:rsidRPr="004F6B54">
        <w:rPr>
          <w:rFonts w:eastAsiaTheme="minorHAnsi"/>
          <w:lang w:eastAsia="en-US"/>
        </w:rPr>
        <w:t xml:space="preserve">Производитель гарантирует соответствие механических соединений типа </w:t>
      </w:r>
      <w:r w:rsidRPr="004F6B54">
        <w:rPr>
          <w:rFonts w:eastAsiaTheme="minorHAnsi"/>
          <w:b/>
          <w:lang w:val="en-US" w:eastAsia="en-US"/>
        </w:rPr>
        <w:t>GX</w:t>
      </w:r>
      <w:r w:rsidRPr="004F6B54">
        <w:rPr>
          <w:rFonts w:eastAsiaTheme="minorHAnsi"/>
          <w:b/>
          <w:lang w:eastAsia="en-US"/>
        </w:rPr>
        <w:t xml:space="preserve"> </w:t>
      </w:r>
      <w:r w:rsidRPr="004F6B54">
        <w:rPr>
          <w:rFonts w:eastAsiaTheme="minorHAnsi"/>
          <w:lang w:eastAsia="en-US"/>
        </w:rPr>
        <w:t xml:space="preserve">техническим требованиям фирмы </w:t>
      </w:r>
      <w:r w:rsidRPr="004F6B54">
        <w:rPr>
          <w:rFonts w:eastAsiaTheme="minorHAnsi"/>
          <w:b/>
          <w:lang w:val="de-DE" w:eastAsia="en-US"/>
        </w:rPr>
        <w:t>GLOBEX</w:t>
      </w:r>
      <w:r w:rsidRPr="004F6B54">
        <w:rPr>
          <w:rFonts w:eastAsiaTheme="minorHAnsi"/>
          <w:b/>
          <w:lang w:eastAsia="en-US"/>
        </w:rPr>
        <w:t xml:space="preserve"> </w:t>
      </w:r>
      <w:r w:rsidRPr="004F6B54">
        <w:rPr>
          <w:rFonts w:eastAsiaTheme="minorHAnsi"/>
          <w:b/>
          <w:lang w:val="de-DE" w:eastAsia="en-US"/>
        </w:rPr>
        <w:t>Group</w:t>
      </w:r>
      <w:r w:rsidRPr="004F6B54">
        <w:rPr>
          <w:rFonts w:eastAsiaTheme="minorHAnsi"/>
          <w:b/>
          <w:lang w:eastAsia="en-US"/>
        </w:rPr>
        <w:t xml:space="preserve"> </w:t>
      </w:r>
      <w:r w:rsidRPr="004F6B54">
        <w:rPr>
          <w:rFonts w:eastAsiaTheme="minorHAnsi"/>
          <w:b/>
          <w:lang w:val="de-DE" w:eastAsia="en-US"/>
        </w:rPr>
        <w:t>GmbH</w:t>
      </w:r>
      <w:r w:rsidRPr="004F6B54">
        <w:rPr>
          <w:rFonts w:eastAsiaTheme="minorHAnsi"/>
          <w:lang w:eastAsia="en-US"/>
        </w:rPr>
        <w:t>.</w:t>
      </w:r>
    </w:p>
    <w:p w:rsidR="004F6B54" w:rsidRPr="004F6B54" w:rsidRDefault="004F6B54" w:rsidP="004F6B54">
      <w:pPr>
        <w:pStyle w:val="a6"/>
        <w:widowControl/>
        <w:numPr>
          <w:ilvl w:val="0"/>
          <w:numId w:val="10"/>
        </w:numPr>
        <w:tabs>
          <w:tab w:val="left" w:pos="142"/>
        </w:tabs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lang w:eastAsia="en-US"/>
        </w:rPr>
        <w:t>Гарантийный срок эксплуатации 6 месяцев с момента установки в соответствии с инструкцией по монтажу.</w:t>
      </w:r>
    </w:p>
    <w:p w:rsidR="004F6B54" w:rsidRPr="004F6B54" w:rsidRDefault="004F6B54" w:rsidP="004F6B54">
      <w:pPr>
        <w:pStyle w:val="a6"/>
        <w:widowControl/>
        <w:numPr>
          <w:ilvl w:val="0"/>
          <w:numId w:val="10"/>
        </w:numPr>
        <w:autoSpaceDE/>
        <w:autoSpaceDN/>
        <w:adjustRightInd/>
        <w:rPr>
          <w:rFonts w:eastAsiaTheme="minorHAnsi"/>
          <w:lang w:eastAsia="en-US"/>
        </w:rPr>
      </w:pPr>
      <w:r w:rsidRPr="004F6B54">
        <w:rPr>
          <w:rFonts w:eastAsiaTheme="minorHAnsi"/>
          <w:lang w:eastAsia="en-US"/>
        </w:rPr>
        <w:t>Сертификат соответствия прилагается.</w:t>
      </w:r>
    </w:p>
    <w:p w:rsidR="004F6B54" w:rsidRDefault="004F6B54" w:rsidP="004F6B54"/>
    <w:p w:rsid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Механические соединения для конвейерных лент GX-45</w:t>
      </w:r>
      <w:bookmarkStart w:id="3" w:name="_GoBack"/>
      <w:bookmarkEnd w:id="3"/>
    </w:p>
    <w:p w:rsidR="006A37A0" w:rsidRDefault="006A37A0" w:rsidP="006A37A0">
      <w:pPr>
        <w:widowControl/>
        <w:rPr>
          <w:rFonts w:eastAsia="Calibri,Bold"/>
          <w:b/>
          <w:bCs/>
          <w:color w:val="000000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0"/>
        <w:gridCol w:w="5144"/>
      </w:tblGrid>
      <w:tr w:rsidR="006A37A0" w:rsidTr="006A37A0">
        <w:trPr>
          <w:trHeight w:val="3541"/>
        </w:trPr>
        <w:tc>
          <w:tcPr>
            <w:tcW w:w="11076" w:type="dxa"/>
          </w:tcPr>
          <w:p w:rsidR="006A37A0" w:rsidRDefault="006A37A0" w:rsidP="006A37A0">
            <w:pPr>
              <w:widowControl/>
              <w:rPr>
                <w:rFonts w:eastAsia="Calibri,Bold"/>
                <w:b/>
                <w:bCs/>
                <w:color w:val="000000"/>
                <w:lang w:eastAsia="en-US"/>
              </w:rPr>
            </w:pPr>
            <w:r>
              <w:rPr>
                <w:rFonts w:eastAsia="Calibri,Bold"/>
                <w:b/>
                <w:bCs/>
                <w:noProof/>
                <w:color w:val="000000"/>
              </w:rPr>
              <w:drawing>
                <wp:inline distT="0" distB="0" distL="0" distR="0" wp14:anchorId="1327704C" wp14:editId="6B0BD6D1">
                  <wp:extent cx="6886575" cy="2657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5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</w:tcPr>
          <w:p w:rsidR="006A37A0" w:rsidRDefault="006A37A0" w:rsidP="006A37A0">
            <w:pPr>
              <w:widowControl/>
              <w:rPr>
                <w:rFonts w:eastAsia="Calibri,Bold"/>
                <w:b/>
                <w:bCs/>
                <w:color w:val="000000"/>
                <w:lang w:eastAsia="en-US"/>
              </w:rPr>
            </w:pPr>
            <w:r>
              <w:rPr>
                <w:rFonts w:eastAsia="Calibri,Bold"/>
                <w:b/>
                <w:bCs/>
                <w:noProof/>
                <w:color w:val="000000"/>
              </w:rPr>
              <w:drawing>
                <wp:inline distT="0" distB="0" distL="0" distR="0" wp14:anchorId="403D0D82" wp14:editId="013BF831">
                  <wp:extent cx="3305175" cy="2657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75" cy="26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37A0" w:rsidRPr="006A37A0" w:rsidRDefault="006A37A0" w:rsidP="006A37A0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Механическое соединение типа GX-45 применяе</w:t>
      </w:r>
      <w:r>
        <w:rPr>
          <w:rFonts w:eastAsia="Calibri,Bold"/>
          <w:color w:val="000000"/>
          <w:lang w:eastAsia="en-US"/>
        </w:rPr>
        <w:t xml:space="preserve">тся для стыковки транспортерных </w:t>
      </w:r>
      <w:r w:rsidRPr="0011233E">
        <w:rPr>
          <w:rFonts w:eastAsia="Calibri,Bold"/>
          <w:color w:val="000000"/>
          <w:lang w:eastAsia="en-US"/>
        </w:rPr>
        <w:t>конвейерных лент всех типов, которые пр</w:t>
      </w:r>
      <w:r>
        <w:rPr>
          <w:rFonts w:eastAsia="Calibri,Bold"/>
          <w:color w:val="000000"/>
          <w:lang w:eastAsia="en-US"/>
        </w:rPr>
        <w:t xml:space="preserve">именяются в горной, химической, </w:t>
      </w:r>
      <w:r w:rsidRPr="0011233E">
        <w:rPr>
          <w:rFonts w:eastAsia="Calibri,Bold"/>
          <w:color w:val="000000"/>
          <w:lang w:eastAsia="en-US"/>
        </w:rPr>
        <w:t>сельскохозяйственной промышленности. Могут быть испол</w:t>
      </w:r>
      <w:r>
        <w:rPr>
          <w:rFonts w:eastAsia="Calibri,Bold"/>
          <w:color w:val="000000"/>
          <w:lang w:eastAsia="en-US"/>
        </w:rPr>
        <w:t xml:space="preserve">ьзованы, как для стыковки ленты </w:t>
      </w:r>
      <w:r w:rsidRPr="0011233E">
        <w:rPr>
          <w:rFonts w:eastAsia="Calibri,Bold"/>
          <w:color w:val="000000"/>
          <w:lang w:eastAsia="en-US"/>
        </w:rPr>
        <w:t xml:space="preserve">по принципу стык в стык с разрывным усилием </w:t>
      </w:r>
      <w:r>
        <w:rPr>
          <w:rFonts w:eastAsia="Calibri,Bold"/>
          <w:color w:val="000000"/>
          <w:lang w:eastAsia="en-US"/>
        </w:rPr>
        <w:t xml:space="preserve">до 700кН/м., так и для стыковки </w:t>
      </w:r>
      <w:r w:rsidRPr="0011233E">
        <w:rPr>
          <w:rFonts w:eastAsia="Calibri,Bold"/>
          <w:color w:val="000000"/>
          <w:lang w:eastAsia="en-US"/>
        </w:rPr>
        <w:t>высоконагруженных лент с разделкой стыка или внахлёст, а так же для ремонта продольных и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косых порезов.</w:t>
      </w:r>
    </w:p>
    <w:p w:rsid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12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Толщина ленточного полотна от 7мм до 16мм</w:t>
      </w:r>
      <w:r w:rsidRPr="0011233E">
        <w:rPr>
          <w:rFonts w:eastAsia="Calibri,Bold"/>
          <w:color w:val="000000"/>
          <w:lang w:eastAsia="en-US"/>
        </w:rPr>
        <w:t xml:space="preserve">. Минимальный диаметр барабанов </w:t>
      </w:r>
      <w:r w:rsidRPr="0011233E">
        <w:rPr>
          <w:rFonts w:eastAsia="Calibri,Bold"/>
          <w:color w:val="000000"/>
          <w:lang w:eastAsia="en-US"/>
        </w:rPr>
        <w:t>300мм.</w:t>
      </w:r>
    </w:p>
    <w:p w:rsidR="0011233E" w:rsidRPr="0011233E" w:rsidRDefault="0011233E" w:rsidP="0011233E">
      <w:pPr>
        <w:pStyle w:val="a6"/>
        <w:widowControl/>
        <w:numPr>
          <w:ilvl w:val="0"/>
          <w:numId w:val="12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Соединение GX-45 производятся исключите</w:t>
      </w:r>
      <w:r w:rsidRPr="0011233E">
        <w:rPr>
          <w:rFonts w:eastAsia="Calibri,Bold"/>
          <w:color w:val="000000"/>
          <w:lang w:eastAsia="en-US"/>
        </w:rPr>
        <w:t xml:space="preserve">льно из специальных материалов, </w:t>
      </w:r>
      <w:r w:rsidRPr="0011233E">
        <w:rPr>
          <w:rFonts w:eastAsia="Calibri,Bold"/>
          <w:color w:val="000000"/>
          <w:lang w:eastAsia="en-US"/>
        </w:rPr>
        <w:t>высокопрочной легированной</w:t>
      </w:r>
      <w:r w:rsidRPr="0011233E">
        <w:rPr>
          <w:rFonts w:eastAsia="Calibri,Bold"/>
          <w:color w:val="000000"/>
          <w:lang w:eastAsia="en-US"/>
        </w:rPr>
        <w:t xml:space="preserve"> стали с покрытием, что даёт им отличительные механические </w:t>
      </w:r>
      <w:r w:rsidRPr="0011233E">
        <w:rPr>
          <w:rFonts w:eastAsia="Calibri,Bold"/>
          <w:color w:val="000000"/>
          <w:lang w:eastAsia="en-US"/>
        </w:rPr>
        <w:t>характеристики.</w:t>
      </w:r>
    </w:p>
    <w:p w:rsidR="0011233E" w:rsidRPr="0011233E" w:rsidRDefault="0011233E" w:rsidP="0011233E">
      <w:pPr>
        <w:pStyle w:val="a6"/>
        <w:widowControl/>
        <w:numPr>
          <w:ilvl w:val="0"/>
          <w:numId w:val="12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Срок службы соединения рассчитан на 2 - 4 года с </w:t>
      </w:r>
      <w:r w:rsidRPr="0011233E">
        <w:rPr>
          <w:rFonts w:eastAsia="Calibri,Bold"/>
          <w:color w:val="000000"/>
          <w:lang w:eastAsia="en-US"/>
        </w:rPr>
        <w:t xml:space="preserve">момента введения в эксплуатацию </w:t>
      </w:r>
      <w:r w:rsidRPr="0011233E">
        <w:rPr>
          <w:rFonts w:eastAsia="Calibri,Bold"/>
          <w:color w:val="000000"/>
          <w:lang w:eastAsia="en-US"/>
        </w:rPr>
        <w:t>(на стационарных конвейерах) и оно показывает хорош</w:t>
      </w:r>
      <w:r w:rsidRPr="0011233E">
        <w:rPr>
          <w:rFonts w:eastAsia="Calibri,Bold"/>
          <w:color w:val="000000"/>
          <w:lang w:eastAsia="en-US"/>
        </w:rPr>
        <w:t xml:space="preserve">ую работоспособность при сильно </w:t>
      </w:r>
      <w:r w:rsidRPr="0011233E">
        <w:rPr>
          <w:rFonts w:eastAsia="Calibri,Bold"/>
          <w:color w:val="000000"/>
          <w:lang w:eastAsia="en-US"/>
        </w:rPr>
        <w:t>изношенной поверхности ленты.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Комплектация</w:t>
      </w:r>
    </w:p>
    <w:p w:rsidR="0011233E" w:rsidRPr="0011233E" w:rsidRDefault="0011233E" w:rsidP="0011233E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Default="0011233E" w:rsidP="0011233E">
      <w:pPr>
        <w:widowControl/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Соединение типа GX-45 комплектуется специа</w:t>
      </w:r>
      <w:r>
        <w:rPr>
          <w:rFonts w:eastAsia="Calibri,Bold"/>
          <w:color w:val="000000"/>
          <w:lang w:eastAsia="en-US"/>
        </w:rPr>
        <w:t>льным винтом М</w:t>
      </w:r>
      <w:proofErr w:type="gramStart"/>
      <w:r>
        <w:rPr>
          <w:rFonts w:eastAsia="Calibri,Bold"/>
          <w:color w:val="000000"/>
          <w:lang w:eastAsia="en-US"/>
        </w:rPr>
        <w:t>6</w:t>
      </w:r>
      <w:proofErr w:type="gramEnd"/>
      <w:r>
        <w:rPr>
          <w:rFonts w:eastAsia="Calibri,Bold"/>
          <w:color w:val="000000"/>
          <w:lang w:eastAsia="en-US"/>
        </w:rPr>
        <w:t xml:space="preserve"> длинной 58мм. И </w:t>
      </w:r>
      <w:r w:rsidRPr="0011233E">
        <w:rPr>
          <w:rFonts w:eastAsia="Calibri,Bold"/>
          <w:color w:val="000000"/>
          <w:lang w:eastAsia="en-US"/>
        </w:rPr>
        <w:t>двумя планками. Планка-шайба, планка-гайка в которую встроен</w:t>
      </w:r>
      <w:r>
        <w:rPr>
          <w:rFonts w:eastAsia="Calibri,Bold"/>
          <w:color w:val="000000"/>
          <w:lang w:eastAsia="en-US"/>
        </w:rPr>
        <w:t>ы гайки М</w:t>
      </w:r>
      <w:proofErr w:type="gramStart"/>
      <w:r>
        <w:rPr>
          <w:rFonts w:eastAsia="Calibri,Bold"/>
          <w:color w:val="000000"/>
          <w:lang w:eastAsia="en-US"/>
        </w:rPr>
        <w:t>6</w:t>
      </w:r>
      <w:proofErr w:type="gramEnd"/>
      <w:r>
        <w:rPr>
          <w:rFonts w:eastAsia="Calibri,Bold"/>
          <w:color w:val="000000"/>
          <w:lang w:eastAsia="en-US"/>
        </w:rPr>
        <w:t xml:space="preserve">. Каждая из </w:t>
      </w:r>
      <w:r w:rsidRPr="0011233E">
        <w:rPr>
          <w:rFonts w:eastAsia="Calibri,Bold"/>
          <w:color w:val="000000"/>
          <w:lang w:eastAsia="en-US"/>
        </w:rPr>
        <w:t>планок имеет шесть зубцов, которые дополнительно при за</w:t>
      </w:r>
      <w:r>
        <w:rPr>
          <w:rFonts w:eastAsia="Calibri,Bold"/>
          <w:color w:val="000000"/>
          <w:lang w:eastAsia="en-US"/>
        </w:rPr>
        <w:t xml:space="preserve">тяжке болтов входят в ленточное </w:t>
      </w:r>
      <w:r w:rsidRPr="0011233E">
        <w:rPr>
          <w:rFonts w:eastAsia="Calibri,Bold"/>
          <w:color w:val="000000"/>
          <w:lang w:eastAsia="en-US"/>
        </w:rPr>
        <w:t>полотно. Толщина планок составляет 2,5мм.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11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Расстоянием между винтами соединения SGX-45 – 45мм.</w:t>
      </w:r>
    </w:p>
    <w:p w:rsidR="0011233E" w:rsidRPr="0011233E" w:rsidRDefault="0011233E" w:rsidP="0011233E">
      <w:pPr>
        <w:pStyle w:val="a6"/>
        <w:widowControl/>
        <w:numPr>
          <w:ilvl w:val="0"/>
          <w:numId w:val="11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По отдельному заказу может быть произведена поставка специального инструмента</w:t>
      </w:r>
    </w:p>
    <w:p w:rsidR="0011233E" w:rsidRPr="0011233E" w:rsidRDefault="0011233E" w:rsidP="0011233E">
      <w:pPr>
        <w:pStyle w:val="a6"/>
        <w:widowControl/>
        <w:numPr>
          <w:ilvl w:val="0"/>
          <w:numId w:val="11"/>
        </w:numPr>
        <w:rPr>
          <w:rFonts w:eastAsia="Calibri,Bold"/>
          <w:color w:val="000000"/>
          <w:lang w:eastAsia="en-US"/>
        </w:rPr>
      </w:pPr>
      <w:proofErr w:type="spellStart"/>
      <w:r w:rsidRPr="0011233E">
        <w:rPr>
          <w:rFonts w:eastAsia="Calibri,Bold"/>
          <w:color w:val="000000"/>
          <w:lang w:eastAsia="en-US"/>
        </w:rPr>
        <w:t>Globex</w:t>
      </w:r>
      <w:proofErr w:type="spellEnd"/>
      <w:r w:rsidRPr="0011233E">
        <w:rPr>
          <w:rFonts w:eastAsia="Calibri,Bold"/>
          <w:color w:val="000000"/>
          <w:lang w:eastAsia="en-US"/>
        </w:rPr>
        <w:t xml:space="preserve"> для установки стыков (шаблон, профессиональный </w:t>
      </w:r>
      <w:proofErr w:type="spellStart"/>
      <w:r w:rsidRPr="0011233E">
        <w:rPr>
          <w:rFonts w:eastAsia="Calibri,Bold"/>
          <w:color w:val="000000"/>
          <w:lang w:eastAsia="en-US"/>
        </w:rPr>
        <w:t>шуруповерт</w:t>
      </w:r>
      <w:proofErr w:type="spellEnd"/>
      <w:r w:rsidRPr="0011233E">
        <w:rPr>
          <w:rFonts w:eastAsia="Calibri,Bold"/>
          <w:color w:val="000000"/>
          <w:lang w:eastAsia="en-US"/>
        </w:rPr>
        <w:t xml:space="preserve">, маркер, нож и </w:t>
      </w:r>
      <w:proofErr w:type="spellStart"/>
      <w:r w:rsidRPr="0011233E">
        <w:rPr>
          <w:rFonts w:eastAsia="Calibri,Bold"/>
          <w:color w:val="000000"/>
          <w:lang w:eastAsia="en-US"/>
        </w:rPr>
        <w:t>т.д</w:t>
      </w:r>
      <w:proofErr w:type="spellEnd"/>
      <w:r w:rsidRPr="0011233E">
        <w:rPr>
          <w:rFonts w:eastAsia="Calibri,Bold"/>
          <w:color w:val="000000"/>
          <w:lang w:eastAsia="en-US"/>
        </w:rPr>
        <w:t>).</w:t>
      </w:r>
    </w:p>
    <w:p w:rsidR="0011233E" w:rsidRPr="0011233E" w:rsidRDefault="0011233E" w:rsidP="0011233E">
      <w:pPr>
        <w:pStyle w:val="a6"/>
        <w:widowControl/>
        <w:numPr>
          <w:ilvl w:val="0"/>
          <w:numId w:val="11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Соединение</w:t>
      </w:r>
      <w:r w:rsidRPr="0011233E">
        <w:rPr>
          <w:rFonts w:eastAsia="Calibri,Bold"/>
          <w:b/>
          <w:bCs/>
          <w:color w:val="000000"/>
          <w:lang w:val="en-US" w:eastAsia="en-US"/>
        </w:rPr>
        <w:t xml:space="preserve"> GX</w:t>
      </w:r>
    </w:p>
    <w:p w:rsidR="0011233E" w:rsidRPr="0011233E" w:rsidRDefault="0011233E" w:rsidP="0011233E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Маркировка и упаковка</w:t>
      </w:r>
    </w:p>
    <w:p w:rsidR="0011233E" w:rsidRPr="0011233E" w:rsidRDefault="0011233E" w:rsidP="0011233E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14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Каждый элемент соединения маркирован фирменным знаком GLOBEX </w:t>
      </w:r>
      <w:proofErr w:type="spellStart"/>
      <w:r w:rsidRPr="0011233E">
        <w:rPr>
          <w:rFonts w:eastAsia="Calibri,Bold"/>
          <w:color w:val="000000"/>
          <w:lang w:eastAsia="en-US"/>
        </w:rPr>
        <w:t>Group</w:t>
      </w:r>
      <w:proofErr w:type="spellEnd"/>
      <w:r w:rsidRPr="0011233E">
        <w:rPr>
          <w:rFonts w:eastAsia="Calibri,Bold"/>
          <w:color w:val="000000"/>
          <w:lang w:eastAsia="en-US"/>
        </w:rPr>
        <w:t xml:space="preserve"> </w:t>
      </w:r>
      <w:proofErr w:type="spellStart"/>
      <w:r w:rsidRPr="0011233E">
        <w:rPr>
          <w:rFonts w:eastAsia="Calibri,Bold"/>
          <w:color w:val="000000"/>
          <w:lang w:eastAsia="en-US"/>
        </w:rPr>
        <w:t>GmbH</w:t>
      </w:r>
      <w:proofErr w:type="spellEnd"/>
      <w:r w:rsidRPr="0011233E">
        <w:rPr>
          <w:rFonts w:eastAsia="Calibri,Bold"/>
          <w:color w:val="000000"/>
          <w:lang w:eastAsia="en-US"/>
        </w:rPr>
        <w:t>;</w:t>
      </w:r>
    </w:p>
    <w:p w:rsidR="0011233E" w:rsidRPr="0011233E" w:rsidRDefault="0011233E" w:rsidP="0011233E">
      <w:pPr>
        <w:pStyle w:val="a6"/>
        <w:widowControl/>
        <w:numPr>
          <w:ilvl w:val="0"/>
          <w:numId w:val="14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Комплект соединений 50шт. упаковывается в картонную тару, каждый составляющий</w:t>
      </w:r>
      <w:r>
        <w:rPr>
          <w:rFonts w:eastAsia="Calibri,Bold"/>
          <w:color w:val="000000"/>
          <w:lang w:eastAsia="en-US"/>
        </w:rPr>
        <w:t xml:space="preserve"> </w:t>
      </w:r>
      <w:r w:rsidRPr="0011233E">
        <w:rPr>
          <w:rFonts w:eastAsia="Calibri,Bold"/>
          <w:color w:val="000000"/>
          <w:lang w:eastAsia="en-US"/>
        </w:rPr>
        <w:t>элемент упаковывается отдельно;</w:t>
      </w:r>
    </w:p>
    <w:p w:rsidR="0011233E" w:rsidRPr="0011233E" w:rsidRDefault="0011233E" w:rsidP="0011233E">
      <w:pPr>
        <w:pStyle w:val="a6"/>
        <w:widowControl/>
        <w:numPr>
          <w:ilvl w:val="0"/>
          <w:numId w:val="14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При длительном хранении не требует дополнительной антикоррозионной обработки.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Монтаж механических соединений</w:t>
      </w:r>
    </w:p>
    <w:p w:rsidR="0011233E" w:rsidRPr="0011233E" w:rsidRDefault="0011233E" w:rsidP="0011233E">
      <w:pPr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Установка указанных механических соединений производится согласно инструкции </w:t>
      </w:r>
      <w:proofErr w:type="gramStart"/>
      <w:r w:rsidRPr="0011233E">
        <w:rPr>
          <w:rFonts w:eastAsia="Calibri,Bold"/>
          <w:color w:val="000000"/>
          <w:lang w:eastAsia="en-US"/>
        </w:rPr>
        <w:t>по</w:t>
      </w:r>
      <w:proofErr w:type="gramEnd"/>
    </w:p>
    <w:p w:rsidR="0011233E" w:rsidRDefault="0011233E" w:rsidP="0011233E">
      <w:pPr>
        <w:widowControl/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монтажу, </w:t>
      </w:r>
      <w:proofErr w:type="gramStart"/>
      <w:r w:rsidRPr="0011233E">
        <w:rPr>
          <w:rFonts w:eastAsia="Calibri,Bold"/>
          <w:color w:val="000000"/>
          <w:lang w:eastAsia="en-US"/>
        </w:rPr>
        <w:t>которая</w:t>
      </w:r>
      <w:proofErr w:type="gramEnd"/>
      <w:r w:rsidRPr="0011233E">
        <w:rPr>
          <w:rFonts w:eastAsia="Calibri,Bold"/>
          <w:color w:val="000000"/>
          <w:lang w:eastAsia="en-US"/>
        </w:rPr>
        <w:t xml:space="preserve"> может прилагаться к каждой поставке.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Хранение и транспортировка</w:t>
      </w:r>
    </w:p>
    <w:p w:rsidR="0011233E" w:rsidRPr="0011233E" w:rsidRDefault="0011233E" w:rsidP="0011233E">
      <w:pPr>
        <w:pStyle w:val="a6"/>
        <w:widowControl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14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Доставка механических соединений может </w:t>
      </w:r>
      <w:proofErr w:type="gramStart"/>
      <w:r w:rsidRPr="0011233E">
        <w:rPr>
          <w:rFonts w:eastAsia="Calibri,Bold"/>
          <w:color w:val="000000"/>
          <w:lang w:eastAsia="en-US"/>
        </w:rPr>
        <w:t>производится</w:t>
      </w:r>
      <w:proofErr w:type="gramEnd"/>
      <w:r w:rsidRPr="0011233E">
        <w:rPr>
          <w:rFonts w:eastAsia="Calibri,Bold"/>
          <w:color w:val="000000"/>
          <w:lang w:eastAsia="en-US"/>
        </w:rPr>
        <w:t xml:space="preserve"> любым видом транспорта.</w:t>
      </w:r>
    </w:p>
    <w:p w:rsidR="0011233E" w:rsidRPr="0011233E" w:rsidRDefault="0011233E" w:rsidP="0011233E">
      <w:pPr>
        <w:pStyle w:val="a6"/>
        <w:widowControl/>
        <w:numPr>
          <w:ilvl w:val="0"/>
          <w:numId w:val="14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Механические соединения поставляются комплектно в упаковках по 50шт. либо</w:t>
      </w:r>
    </w:p>
    <w:p w:rsidR="0011233E" w:rsidRPr="0011233E" w:rsidRDefault="0011233E" w:rsidP="0011233E">
      <w:pPr>
        <w:pStyle w:val="a6"/>
        <w:widowControl/>
        <w:numPr>
          <w:ilvl w:val="0"/>
          <w:numId w:val="15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согласно договоренности с потребителем.</w:t>
      </w:r>
    </w:p>
    <w:p w:rsidR="0011233E" w:rsidRPr="0011233E" w:rsidRDefault="0011233E" w:rsidP="0011233E">
      <w:pPr>
        <w:widowControl/>
        <w:rPr>
          <w:rFonts w:eastAsia="Calibri,Bold"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6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b/>
          <w:bCs/>
          <w:color w:val="000000"/>
          <w:lang w:eastAsia="en-US"/>
        </w:rPr>
        <w:t>Гарантии</w:t>
      </w:r>
    </w:p>
    <w:p w:rsidR="0011233E" w:rsidRPr="0011233E" w:rsidRDefault="0011233E" w:rsidP="0011233E">
      <w:pPr>
        <w:widowControl/>
        <w:ind w:left="360"/>
        <w:rPr>
          <w:rFonts w:eastAsia="Calibri,Bold"/>
          <w:b/>
          <w:bCs/>
          <w:color w:val="000000"/>
          <w:lang w:eastAsia="en-US"/>
        </w:rPr>
      </w:pPr>
    </w:p>
    <w:p w:rsidR="0011233E" w:rsidRPr="0011233E" w:rsidRDefault="0011233E" w:rsidP="0011233E">
      <w:pPr>
        <w:pStyle w:val="a6"/>
        <w:widowControl/>
        <w:numPr>
          <w:ilvl w:val="0"/>
          <w:numId w:val="15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Производитель гарантирует соответствие механических соединений типа GX-45</w:t>
      </w:r>
    </w:p>
    <w:p w:rsidR="0011233E" w:rsidRPr="0011233E" w:rsidRDefault="0011233E" w:rsidP="0011233E">
      <w:pPr>
        <w:pStyle w:val="a6"/>
        <w:widowControl/>
        <w:numPr>
          <w:ilvl w:val="0"/>
          <w:numId w:val="15"/>
        </w:numPr>
        <w:rPr>
          <w:rFonts w:eastAsia="Calibri,Bold"/>
          <w:b/>
          <w:bCs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 xml:space="preserve">Соединение типа GX соответствует техническим требованиям фирмы </w:t>
      </w:r>
      <w:r w:rsidRPr="0011233E">
        <w:rPr>
          <w:rFonts w:eastAsia="Calibri,Bold"/>
          <w:b/>
          <w:bCs/>
          <w:color w:val="000000"/>
          <w:lang w:eastAsia="en-US"/>
        </w:rPr>
        <w:t xml:space="preserve">GLOBEX </w:t>
      </w:r>
      <w:proofErr w:type="spellStart"/>
      <w:r w:rsidRPr="0011233E">
        <w:rPr>
          <w:rFonts w:eastAsia="Calibri,Bold"/>
          <w:b/>
          <w:bCs/>
          <w:color w:val="000000"/>
          <w:lang w:eastAsia="en-US"/>
        </w:rPr>
        <w:t>Group</w:t>
      </w:r>
      <w:proofErr w:type="spellEnd"/>
      <w:r>
        <w:rPr>
          <w:rFonts w:eastAsia="Calibri,Bold"/>
          <w:b/>
          <w:bCs/>
          <w:color w:val="000000"/>
          <w:lang w:eastAsia="en-US"/>
        </w:rPr>
        <w:t xml:space="preserve"> </w:t>
      </w:r>
      <w:proofErr w:type="spellStart"/>
      <w:r w:rsidRPr="0011233E">
        <w:rPr>
          <w:rFonts w:eastAsia="Calibri,Bold"/>
          <w:b/>
          <w:bCs/>
          <w:color w:val="000000"/>
          <w:lang w:eastAsia="en-US"/>
        </w:rPr>
        <w:t>GmbH</w:t>
      </w:r>
      <w:proofErr w:type="spellEnd"/>
      <w:r w:rsidRPr="0011233E">
        <w:rPr>
          <w:rFonts w:eastAsia="Calibri,Bold"/>
          <w:b/>
          <w:bCs/>
          <w:color w:val="000000"/>
          <w:lang w:eastAsia="en-US"/>
        </w:rPr>
        <w:t>;</w:t>
      </w:r>
    </w:p>
    <w:p w:rsidR="0011233E" w:rsidRPr="0011233E" w:rsidRDefault="0011233E" w:rsidP="0011233E">
      <w:pPr>
        <w:pStyle w:val="a6"/>
        <w:widowControl/>
        <w:numPr>
          <w:ilvl w:val="0"/>
          <w:numId w:val="15"/>
        </w:numPr>
        <w:rPr>
          <w:rFonts w:eastAsia="Calibri,Bold"/>
          <w:color w:val="000000"/>
          <w:lang w:eastAsia="en-US"/>
        </w:rPr>
      </w:pPr>
      <w:r w:rsidRPr="0011233E">
        <w:rPr>
          <w:rFonts w:eastAsia="Calibri,Bold"/>
          <w:color w:val="000000"/>
          <w:lang w:eastAsia="en-US"/>
        </w:rPr>
        <w:t>Гарантийный срок эксплуатации 8 месяцев с момента установки в соответствии с</w:t>
      </w:r>
      <w:r>
        <w:rPr>
          <w:rFonts w:eastAsia="Calibri,Bold"/>
          <w:color w:val="000000"/>
          <w:lang w:eastAsia="en-US"/>
        </w:rPr>
        <w:t xml:space="preserve"> </w:t>
      </w:r>
      <w:r w:rsidRPr="0011233E">
        <w:rPr>
          <w:rFonts w:eastAsia="Calibri,Bold"/>
          <w:color w:val="000000"/>
          <w:lang w:eastAsia="en-US"/>
        </w:rPr>
        <w:t>инструкцией по монтажу.</w:t>
      </w:r>
    </w:p>
    <w:p w:rsidR="0011233E" w:rsidRPr="0011233E" w:rsidRDefault="0011233E" w:rsidP="0011233E"/>
    <w:sectPr w:rsidR="0011233E" w:rsidRPr="0011233E" w:rsidSect="00AF75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0044"/>
    <w:multiLevelType w:val="hybridMultilevel"/>
    <w:tmpl w:val="CF98B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600A6"/>
    <w:multiLevelType w:val="hybridMultilevel"/>
    <w:tmpl w:val="4260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CF518C"/>
    <w:multiLevelType w:val="hybridMultilevel"/>
    <w:tmpl w:val="5554F936"/>
    <w:lvl w:ilvl="0" w:tplc="1136810E">
      <w:start w:val="2"/>
      <w:numFmt w:val="bullet"/>
      <w:lvlText w:val="•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A7CE3"/>
    <w:multiLevelType w:val="hybridMultilevel"/>
    <w:tmpl w:val="E982B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F499B"/>
    <w:multiLevelType w:val="hybridMultilevel"/>
    <w:tmpl w:val="1A36D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63595D"/>
    <w:multiLevelType w:val="hybridMultilevel"/>
    <w:tmpl w:val="B066AF9C"/>
    <w:lvl w:ilvl="0" w:tplc="9E721378">
      <w:start w:val="1"/>
      <w:numFmt w:val="decimal"/>
      <w:lvlText w:val="%1."/>
      <w:lvlJc w:val="left"/>
      <w:pPr>
        <w:ind w:left="3763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BD63180"/>
    <w:multiLevelType w:val="hybridMultilevel"/>
    <w:tmpl w:val="9708B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578D2"/>
    <w:multiLevelType w:val="hybridMultilevel"/>
    <w:tmpl w:val="D814F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6264"/>
    <w:multiLevelType w:val="hybridMultilevel"/>
    <w:tmpl w:val="D0445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493E7C"/>
    <w:multiLevelType w:val="hybridMultilevel"/>
    <w:tmpl w:val="CDDC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2F62D9"/>
    <w:multiLevelType w:val="hybridMultilevel"/>
    <w:tmpl w:val="A91AB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4A7FCC"/>
    <w:multiLevelType w:val="hybridMultilevel"/>
    <w:tmpl w:val="539C062E"/>
    <w:lvl w:ilvl="0" w:tplc="1136810E">
      <w:start w:val="2"/>
      <w:numFmt w:val="bullet"/>
      <w:lvlText w:val="•"/>
      <w:lvlJc w:val="left"/>
      <w:pPr>
        <w:ind w:left="720" w:hanging="360"/>
      </w:pPr>
      <w:rPr>
        <w:rFonts w:ascii="Times New Roman" w:eastAsia="Calibri,Bold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814D94"/>
    <w:multiLevelType w:val="hybridMultilevel"/>
    <w:tmpl w:val="BDBEC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3C28A0"/>
    <w:multiLevelType w:val="hybridMultilevel"/>
    <w:tmpl w:val="7084E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227F56"/>
    <w:multiLevelType w:val="hybridMultilevel"/>
    <w:tmpl w:val="DA62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4"/>
  </w:num>
  <w:num w:numId="5">
    <w:abstractNumId w:val="13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4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4C"/>
    <w:rsid w:val="0011233E"/>
    <w:rsid w:val="004F6B54"/>
    <w:rsid w:val="00693410"/>
    <w:rsid w:val="006A37A0"/>
    <w:rsid w:val="00994AD7"/>
    <w:rsid w:val="00AF75D2"/>
    <w:rsid w:val="00CB1DBB"/>
    <w:rsid w:val="00F9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75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B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F75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5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5D2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5"/>
    <w:uiPriority w:val="59"/>
    <w:rsid w:val="00AF75D2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F7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F6B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z.ru" TargetMode="External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hyperlink" Target="mailto:rosrez@mail.ru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965</Words>
  <Characters>5501</Characters>
  <Application>Microsoft Office Word</Application>
  <DocSecurity>0</DocSecurity>
  <Lines>45</Lines>
  <Paragraphs>12</Paragraphs>
  <ScaleCrop>false</ScaleCrop>
  <Company>*</Company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dcterms:created xsi:type="dcterms:W3CDTF">2019-12-02T05:58:00Z</dcterms:created>
  <dcterms:modified xsi:type="dcterms:W3CDTF">2019-12-02T07:22:00Z</dcterms:modified>
</cp:coreProperties>
</file>